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6D5" w:rsidRDefault="00DD66D5" w:rsidP="00DD66D5">
      <w:pPr>
        <w:pStyle w:val="Title"/>
      </w:pPr>
      <w:r>
        <w:t>All Party Group: Culture and Wellbeing</w:t>
      </w:r>
    </w:p>
    <w:p w:rsidR="005C21BA" w:rsidRDefault="00DD66D5" w:rsidP="00DD66D5">
      <w:pPr>
        <w:pStyle w:val="Title"/>
      </w:pPr>
      <w:r>
        <w:t>11</w:t>
      </w:r>
      <w:r w:rsidRPr="00DD66D5">
        <w:rPr>
          <w:vertAlign w:val="superscript"/>
        </w:rPr>
        <w:t>th</w:t>
      </w:r>
      <w:r>
        <w:t xml:space="preserve"> December 2013</w:t>
      </w:r>
    </w:p>
    <w:p w:rsidR="00DD66D5" w:rsidRDefault="00DD66D5">
      <w:r>
        <w:t>The purpose of the meeting is to discuss the role of evidence about wellbeing and cultural activities, and how it might be used to:</w:t>
      </w:r>
    </w:p>
    <w:p w:rsidR="00DD66D5" w:rsidRDefault="00DD66D5" w:rsidP="00DD66D5">
      <w:pPr>
        <w:pStyle w:val="ListParagraph"/>
        <w:numPr>
          <w:ilvl w:val="0"/>
          <w:numId w:val="1"/>
        </w:numPr>
      </w:pPr>
      <w:r>
        <w:t>Provide an argument to increase spending on culture</w:t>
      </w:r>
    </w:p>
    <w:p w:rsidR="00DD66D5" w:rsidRDefault="00DD66D5" w:rsidP="00DD66D5">
      <w:pPr>
        <w:pStyle w:val="ListParagraph"/>
        <w:numPr>
          <w:ilvl w:val="0"/>
          <w:numId w:val="1"/>
        </w:numPr>
      </w:pPr>
      <w:r>
        <w:t xml:space="preserve">Prioritise that spending </w:t>
      </w:r>
    </w:p>
    <w:p w:rsidR="00DD66D5" w:rsidRDefault="00FF19C9" w:rsidP="00DD66D5">
      <w:pPr>
        <w:pStyle w:val="Heading1"/>
      </w:pPr>
      <w:r>
        <w:t>Witnesses</w:t>
      </w:r>
    </w:p>
    <w:p w:rsidR="00DD66D5" w:rsidRDefault="00DD66D5" w:rsidP="00DD66D5">
      <w:pPr>
        <w:pStyle w:val="ListParagraph"/>
        <w:numPr>
          <w:ilvl w:val="0"/>
          <w:numId w:val="2"/>
        </w:numPr>
      </w:pPr>
      <w:r>
        <w:t>Tony Butler, Happy Museum</w:t>
      </w:r>
    </w:p>
    <w:p w:rsidR="00DD66D5" w:rsidRDefault="00DD66D5" w:rsidP="00DD66D5">
      <w:pPr>
        <w:pStyle w:val="ListParagraph"/>
        <w:numPr>
          <w:ilvl w:val="0"/>
          <w:numId w:val="2"/>
        </w:numPr>
      </w:pPr>
      <w:r>
        <w:t>Daniel Fujiwara, London School of Economics and Happy Museum</w:t>
      </w:r>
    </w:p>
    <w:p w:rsidR="00DD66D5" w:rsidRDefault="00DD66D5" w:rsidP="00DD66D5">
      <w:pPr>
        <w:pStyle w:val="ListParagraph"/>
        <w:numPr>
          <w:ilvl w:val="0"/>
          <w:numId w:val="2"/>
        </w:numPr>
      </w:pPr>
      <w:r>
        <w:t>Charlotte Jones, Independent Theatre Council</w:t>
      </w:r>
    </w:p>
    <w:p w:rsidR="00DD66D5" w:rsidRDefault="00DD66D5" w:rsidP="00DD66D5">
      <w:pPr>
        <w:pStyle w:val="ListParagraph"/>
        <w:numPr>
          <w:ilvl w:val="0"/>
          <w:numId w:val="2"/>
        </w:numPr>
      </w:pPr>
      <w:r>
        <w:t>Alan Davey, Arts Council</w:t>
      </w:r>
    </w:p>
    <w:p w:rsidR="00DD66D5" w:rsidRDefault="00BF2218" w:rsidP="00DD66D5">
      <w:pPr>
        <w:pStyle w:val="ListParagraph"/>
        <w:numPr>
          <w:ilvl w:val="0"/>
          <w:numId w:val="2"/>
        </w:numPr>
      </w:pPr>
      <w:r>
        <w:t>Gareth Ma</w:t>
      </w:r>
      <w:r w:rsidR="00DD66D5">
        <w:t>e</w:t>
      </w:r>
      <w:r w:rsidR="001A7053">
        <w:t>e</w:t>
      </w:r>
      <w:r w:rsidR="00DD66D5">
        <w:t>r, Heritage Lottery Fund</w:t>
      </w:r>
    </w:p>
    <w:p w:rsidR="00DD66D5" w:rsidRDefault="00DD66D5" w:rsidP="00DD66D5">
      <w:pPr>
        <w:pStyle w:val="ListParagraph"/>
        <w:numPr>
          <w:ilvl w:val="0"/>
          <w:numId w:val="2"/>
        </w:numPr>
      </w:pPr>
      <w:r>
        <w:t>Dave O’Brien, City University London</w:t>
      </w:r>
    </w:p>
    <w:p w:rsidR="0065721B" w:rsidRDefault="00925F6D" w:rsidP="0065721B">
      <w:pPr>
        <w:pStyle w:val="Heading1"/>
      </w:pPr>
      <w:r>
        <w:t>Group member</w:t>
      </w:r>
      <w:r w:rsidR="00FF19C9">
        <w:t>s</w:t>
      </w:r>
    </w:p>
    <w:p w:rsidR="0065721B" w:rsidRDefault="0065721B" w:rsidP="0065721B">
      <w:pPr>
        <w:pStyle w:val="ListParagraph"/>
        <w:numPr>
          <w:ilvl w:val="0"/>
          <w:numId w:val="3"/>
        </w:numPr>
      </w:pPr>
      <w:r>
        <w:t>Helen Goodman</w:t>
      </w:r>
    </w:p>
    <w:p w:rsidR="0065721B" w:rsidRDefault="0065721B" w:rsidP="0065721B">
      <w:pPr>
        <w:pStyle w:val="ListParagraph"/>
        <w:numPr>
          <w:ilvl w:val="0"/>
          <w:numId w:val="3"/>
        </w:numPr>
      </w:pPr>
      <w:r>
        <w:t>Alan Howarth</w:t>
      </w:r>
    </w:p>
    <w:p w:rsidR="0065721B" w:rsidRDefault="00BF2218" w:rsidP="0065721B">
      <w:pPr>
        <w:pStyle w:val="ListParagraph"/>
        <w:numPr>
          <w:ilvl w:val="0"/>
          <w:numId w:val="3"/>
        </w:numPr>
      </w:pPr>
      <w:r>
        <w:t>David Lammy  (Chair)</w:t>
      </w:r>
    </w:p>
    <w:p w:rsidR="007F0733" w:rsidRDefault="007F0733" w:rsidP="00FE5B07">
      <w:pPr>
        <w:pStyle w:val="Title"/>
      </w:pPr>
      <w:r>
        <w:t>Minutes</w:t>
      </w:r>
    </w:p>
    <w:p w:rsidR="00C118BB" w:rsidRPr="00C118BB" w:rsidRDefault="00C118BB" w:rsidP="00C118BB">
      <w:r>
        <w:t>The meeting began with presentations from each of the witnesses, followed by questions from the group members and audience.</w:t>
      </w:r>
    </w:p>
    <w:p w:rsidR="00C118BB" w:rsidRDefault="00C118BB" w:rsidP="00E46110">
      <w:pPr>
        <w:pStyle w:val="Heading1"/>
      </w:pPr>
      <w:r>
        <w:t xml:space="preserve">Witness Presentations </w:t>
      </w:r>
    </w:p>
    <w:p w:rsidR="007F0733" w:rsidRDefault="007F0733" w:rsidP="00E46110">
      <w:pPr>
        <w:pStyle w:val="Heading2"/>
      </w:pPr>
      <w:r w:rsidRPr="007F0733">
        <w:t>Tony Butler</w:t>
      </w:r>
      <w:r w:rsidR="00C118BB">
        <w:t>, Happy Museum</w:t>
      </w:r>
    </w:p>
    <w:p w:rsidR="007F0733" w:rsidRDefault="007F0733" w:rsidP="007F0733">
      <w:pPr>
        <w:pStyle w:val="ListParagraph"/>
        <w:numPr>
          <w:ilvl w:val="0"/>
          <w:numId w:val="5"/>
        </w:numPr>
      </w:pPr>
      <w:r>
        <w:t xml:space="preserve">There is a strong link between communal wellbeing and environmental stewardship. </w:t>
      </w:r>
    </w:p>
    <w:p w:rsidR="00231476" w:rsidRDefault="007F0733" w:rsidP="007F0733">
      <w:pPr>
        <w:pStyle w:val="ListParagraph"/>
        <w:numPr>
          <w:ilvl w:val="0"/>
          <w:numId w:val="5"/>
        </w:numPr>
      </w:pPr>
      <w:r>
        <w:t xml:space="preserve">Happy Museum carries out work that aims to change the practice of how museums work. </w:t>
      </w:r>
      <w:r w:rsidR="00FE5B07">
        <w:t xml:space="preserve">Happy Museum </w:t>
      </w:r>
      <w:r>
        <w:t>understand</w:t>
      </w:r>
      <w:r w:rsidR="00FE5B07">
        <w:t>s</w:t>
      </w:r>
      <w:r>
        <w:t xml:space="preserve"> museums as:</w:t>
      </w:r>
    </w:p>
    <w:p w:rsidR="007F0733" w:rsidRDefault="007F0733" w:rsidP="007F0733">
      <w:pPr>
        <w:pStyle w:val="ListParagraph"/>
        <w:numPr>
          <w:ilvl w:val="1"/>
          <w:numId w:val="5"/>
        </w:numPr>
      </w:pPr>
      <w:r>
        <w:t>Sanctuaries from commercial messages</w:t>
      </w:r>
    </w:p>
    <w:p w:rsidR="007F0733" w:rsidRDefault="007F0733" w:rsidP="007F0733">
      <w:pPr>
        <w:pStyle w:val="ListParagraph"/>
        <w:numPr>
          <w:ilvl w:val="1"/>
          <w:numId w:val="5"/>
        </w:numPr>
      </w:pPr>
      <w:r>
        <w:t>Places where people can build relationship</w:t>
      </w:r>
      <w:r w:rsidR="00FE5B07">
        <w:t>s</w:t>
      </w:r>
      <w:r>
        <w:t xml:space="preserve"> and connections with other people and with objects</w:t>
      </w:r>
    </w:p>
    <w:p w:rsidR="007F0733" w:rsidRDefault="007F0733" w:rsidP="007F0733">
      <w:pPr>
        <w:pStyle w:val="ListParagraph"/>
        <w:numPr>
          <w:ilvl w:val="1"/>
          <w:numId w:val="5"/>
        </w:numPr>
      </w:pPr>
      <w:r>
        <w:t>Places where people can be immersed in culture, which enhances their wellbeing</w:t>
      </w:r>
    </w:p>
    <w:p w:rsidR="007F0733" w:rsidRDefault="007F0733" w:rsidP="007F0733">
      <w:pPr>
        <w:pStyle w:val="ListParagraph"/>
        <w:numPr>
          <w:ilvl w:val="1"/>
          <w:numId w:val="5"/>
        </w:numPr>
      </w:pPr>
      <w:r>
        <w:t>Vehicles via which individuals can give back to the community – either by volunteering at the museum, or co-producing the museum</w:t>
      </w:r>
    </w:p>
    <w:p w:rsidR="007F0733" w:rsidRDefault="007F0733" w:rsidP="007F0733">
      <w:pPr>
        <w:pStyle w:val="ListParagraph"/>
        <w:numPr>
          <w:ilvl w:val="0"/>
          <w:numId w:val="5"/>
        </w:numPr>
      </w:pPr>
      <w:r>
        <w:t>Happy Museum has given direct funding and support to implement  changes in 22 museums, including:</w:t>
      </w:r>
    </w:p>
    <w:p w:rsidR="007F0733" w:rsidRDefault="007F0733" w:rsidP="007F0733">
      <w:pPr>
        <w:pStyle w:val="ListParagraph"/>
        <w:numPr>
          <w:ilvl w:val="1"/>
          <w:numId w:val="5"/>
        </w:numPr>
      </w:pPr>
      <w:r>
        <w:t>Manchester Museum, where playfulness experts created “play spaces”</w:t>
      </w:r>
    </w:p>
    <w:p w:rsidR="007F0733" w:rsidRDefault="007F0733" w:rsidP="007F0733">
      <w:pPr>
        <w:pStyle w:val="ListParagraph"/>
        <w:numPr>
          <w:ilvl w:val="1"/>
          <w:numId w:val="5"/>
        </w:numPr>
      </w:pPr>
      <w:r>
        <w:t>The Silk Mill, Derby</w:t>
      </w:r>
      <w:r w:rsidR="00E73DB6">
        <w:t>,</w:t>
      </w:r>
      <w:r>
        <w:t xml:space="preserve"> </w:t>
      </w:r>
      <w:r w:rsidR="00E73DB6">
        <w:t xml:space="preserve">which </w:t>
      </w:r>
      <w:r>
        <w:t>hosted a “Remake the museum” project, where visitors were encouraged to tinker with objects and redesign</w:t>
      </w:r>
      <w:r w:rsidR="00C118BB">
        <w:t xml:space="preserve"> the museum</w:t>
      </w:r>
    </w:p>
    <w:p w:rsidR="00C118BB" w:rsidRDefault="00C118BB" w:rsidP="007F0733">
      <w:pPr>
        <w:pStyle w:val="ListParagraph"/>
        <w:numPr>
          <w:ilvl w:val="1"/>
          <w:numId w:val="5"/>
        </w:numPr>
      </w:pPr>
      <w:r>
        <w:t>Godalming Museum, Surrey</w:t>
      </w:r>
      <w:r w:rsidR="00E73DB6">
        <w:t>, which</w:t>
      </w:r>
      <w:r>
        <w:t xml:space="preserve"> made links with community organisations, such that the museum was psychologically owned by the community, who co-produced the museum</w:t>
      </w:r>
    </w:p>
    <w:p w:rsidR="00C118BB" w:rsidRDefault="00C118BB" w:rsidP="007F0733">
      <w:pPr>
        <w:pStyle w:val="ListParagraph"/>
        <w:numPr>
          <w:ilvl w:val="1"/>
          <w:numId w:val="5"/>
        </w:numPr>
      </w:pPr>
      <w:r>
        <w:t xml:space="preserve">Woodhorn </w:t>
      </w:r>
      <w:r w:rsidR="00E73DB6">
        <w:t xml:space="preserve">Mining </w:t>
      </w:r>
      <w:r>
        <w:t>Museum, which appointed a comedian-in-residence to engage people with the exhibitions</w:t>
      </w:r>
    </w:p>
    <w:p w:rsidR="00C118BB" w:rsidRDefault="00C118BB" w:rsidP="00E46110">
      <w:pPr>
        <w:pStyle w:val="Heading2"/>
      </w:pPr>
      <w:r w:rsidRPr="00C118BB">
        <w:t>Daniel Fujiwara, London School of Economics and Happy Museum</w:t>
      </w:r>
    </w:p>
    <w:p w:rsidR="00C118BB" w:rsidRDefault="00C118BB" w:rsidP="00C118BB">
      <w:pPr>
        <w:pStyle w:val="ListParagraph"/>
        <w:numPr>
          <w:ilvl w:val="0"/>
          <w:numId w:val="10"/>
        </w:numPr>
      </w:pPr>
      <w:r>
        <w:t>Daniel’s work is concerned with how wellbeing measures can impact on policy analysis</w:t>
      </w:r>
    </w:p>
    <w:p w:rsidR="00E73DB6" w:rsidRDefault="00C118BB" w:rsidP="00E73DB6">
      <w:pPr>
        <w:pStyle w:val="ListParagraph"/>
        <w:numPr>
          <w:ilvl w:val="0"/>
          <w:numId w:val="10"/>
        </w:numPr>
      </w:pPr>
      <w:r>
        <w:t>In the UK, we use cost benefit analysis to assess policy value</w:t>
      </w:r>
      <w:r w:rsidR="00BF2218">
        <w:t xml:space="preserve">, traditionally </w:t>
      </w:r>
      <w:r w:rsidR="00E73DB6">
        <w:t>using w</w:t>
      </w:r>
      <w:r>
        <w:t>illingness to pay, subjective wellbeing scores, and objective m</w:t>
      </w:r>
      <w:r w:rsidR="00E73DB6">
        <w:t>easures such as life ex</w:t>
      </w:r>
      <w:r w:rsidR="00BF2218">
        <w:t>pectancy. Using s</w:t>
      </w:r>
      <w:r w:rsidR="00E73DB6">
        <w:t xml:space="preserve">ubjective wellbeing scores </w:t>
      </w:r>
      <w:r w:rsidR="00BF2218">
        <w:t>instead can be superior</w:t>
      </w:r>
      <w:r w:rsidR="00E73DB6">
        <w:t xml:space="preserve"> because it asks people about how they feel in the moment,</w:t>
      </w:r>
      <w:r w:rsidR="00BF2218">
        <w:t xml:space="preserve"> or satisfied they are,</w:t>
      </w:r>
      <w:r w:rsidR="00E73DB6">
        <w:t xml:space="preserve"> rather than willingness to pay, which depends on a projection of how one might feel. </w:t>
      </w:r>
    </w:p>
    <w:p w:rsidR="00C118BB" w:rsidRDefault="00E73DB6" w:rsidP="00E73DB6">
      <w:pPr>
        <w:pStyle w:val="ListParagraph"/>
        <w:numPr>
          <w:ilvl w:val="0"/>
          <w:numId w:val="10"/>
        </w:numPr>
      </w:pPr>
      <w:r>
        <w:t>At Happy Museum, they have used subjective wellbeing scores to determine the monetary value of visiting a museum. They do this by</w:t>
      </w:r>
      <w:r w:rsidR="00C118BB">
        <w:t xml:space="preserve"> </w:t>
      </w:r>
      <w:r w:rsidR="00BF2218">
        <w:t>describing</w:t>
      </w:r>
      <w:r>
        <w:t xml:space="preserve"> the impact of visiting a museum on an individual’s reported subjective wellbeing </w:t>
      </w:r>
      <w:r w:rsidR="00BF2218">
        <w:t>in terms of</w:t>
      </w:r>
      <w:r w:rsidR="00C118BB">
        <w:t xml:space="preserve"> the equivalent income increase required to achieve the same wellbeing gain. They found that:</w:t>
      </w:r>
    </w:p>
    <w:p w:rsidR="00C118BB" w:rsidRDefault="00C118BB" w:rsidP="00C118BB">
      <w:pPr>
        <w:pStyle w:val="ListParagraph"/>
        <w:numPr>
          <w:ilvl w:val="1"/>
          <w:numId w:val="10"/>
        </w:numPr>
      </w:pPr>
      <w:r>
        <w:t>Visiting museums is valued at £3,200 per year</w:t>
      </w:r>
      <w:r w:rsidR="00E73DB6">
        <w:t xml:space="preserve"> per individual</w:t>
      </w:r>
    </w:p>
    <w:p w:rsidR="00C118BB" w:rsidRDefault="00C118BB" w:rsidP="00C118BB">
      <w:pPr>
        <w:pStyle w:val="ListParagraph"/>
        <w:numPr>
          <w:ilvl w:val="1"/>
          <w:numId w:val="10"/>
        </w:numPr>
      </w:pPr>
      <w:r>
        <w:t>Participating in arts is valued at £1,500 per year</w:t>
      </w:r>
      <w:r w:rsidR="00E73DB6">
        <w:t xml:space="preserve"> per individual</w:t>
      </w:r>
    </w:p>
    <w:p w:rsidR="00C118BB" w:rsidRDefault="00C118BB" w:rsidP="00C118BB">
      <w:pPr>
        <w:pStyle w:val="ListParagraph"/>
        <w:numPr>
          <w:ilvl w:val="1"/>
          <w:numId w:val="10"/>
        </w:numPr>
      </w:pPr>
      <w:r>
        <w:t>Being an audie</w:t>
      </w:r>
      <w:r w:rsidR="00E73DB6">
        <w:t>n</w:t>
      </w:r>
      <w:r>
        <w:t>c</w:t>
      </w:r>
      <w:r w:rsidR="00E73DB6">
        <w:t>e</w:t>
      </w:r>
      <w:r>
        <w:t xml:space="preserve"> to dance performances is valued at £2,000 per year</w:t>
      </w:r>
      <w:r w:rsidR="00E73DB6">
        <w:t xml:space="preserve"> per individual</w:t>
      </w:r>
    </w:p>
    <w:p w:rsidR="00C118BB" w:rsidRDefault="00E73DB6" w:rsidP="00E73DB6">
      <w:pPr>
        <w:pStyle w:val="ListParagraph"/>
        <w:numPr>
          <w:ilvl w:val="0"/>
          <w:numId w:val="10"/>
        </w:numPr>
      </w:pPr>
      <w:r>
        <w:t>Such</w:t>
      </w:r>
      <w:r w:rsidR="00C118BB">
        <w:t xml:space="preserve"> findings can be </w:t>
      </w:r>
      <w:r>
        <w:t xml:space="preserve">expanded and </w:t>
      </w:r>
      <w:r w:rsidR="00C118BB">
        <w:t xml:space="preserve">used </w:t>
      </w:r>
      <w:r>
        <w:t>to perform</w:t>
      </w:r>
      <w:r w:rsidR="00C118BB">
        <w:t xml:space="preserve"> cost benefit analysis of policies to see whether or not policies produce a net benefit to society.</w:t>
      </w:r>
      <w:r>
        <w:t xml:space="preserve"> This could be used to h</w:t>
      </w:r>
      <w:r w:rsidR="00C118BB">
        <w:t xml:space="preserve">elp with allocation </w:t>
      </w:r>
      <w:r>
        <w:t>of funds to the</w:t>
      </w:r>
      <w:r w:rsidR="00C118BB">
        <w:t xml:space="preserve"> culture budget, for example by comparing </w:t>
      </w:r>
      <w:r>
        <w:t>the impact in terms of wellbeing of spending on culture to spending on</w:t>
      </w:r>
      <w:r w:rsidR="00C118BB">
        <w:t xml:space="preserve"> other services </w:t>
      </w:r>
      <w:r>
        <w:t>(</w:t>
      </w:r>
      <w:r w:rsidR="00C118BB">
        <w:t>such as cleaning the streets etc</w:t>
      </w:r>
      <w:r>
        <w:t>.)</w:t>
      </w:r>
      <w:r w:rsidR="00C118BB">
        <w:t>.</w:t>
      </w:r>
    </w:p>
    <w:p w:rsidR="00C118BB" w:rsidRDefault="008802E9" w:rsidP="00C118BB">
      <w:pPr>
        <w:pStyle w:val="ListParagraph"/>
        <w:numPr>
          <w:ilvl w:val="0"/>
          <w:numId w:val="10"/>
        </w:numPr>
      </w:pPr>
      <w:r>
        <w:t>We d</w:t>
      </w:r>
      <w:r w:rsidR="00C118BB">
        <w:t>on’t have f</w:t>
      </w:r>
      <w:r>
        <w:t>i</w:t>
      </w:r>
      <w:r w:rsidR="00C118BB">
        <w:t>ne-grained enough data</w:t>
      </w:r>
      <w:r w:rsidR="00BF2218">
        <w:t xml:space="preserve"> yet</w:t>
      </w:r>
      <w:r w:rsidR="00C118BB">
        <w:t xml:space="preserve"> to</w:t>
      </w:r>
      <w:r w:rsidR="00BF2218">
        <w:t xml:space="preserve"> assess the different impacts of different</w:t>
      </w:r>
      <w:r w:rsidR="00C118BB">
        <w:t xml:space="preserve"> </w:t>
      </w:r>
      <w:r w:rsidR="00BF2218">
        <w:t xml:space="preserve">activities, </w:t>
      </w:r>
      <w:r>
        <w:t xml:space="preserve"> but Daniel is working on a</w:t>
      </w:r>
      <w:r w:rsidR="00C118BB">
        <w:t>n app to collect this data</w:t>
      </w:r>
      <w:r>
        <w:t>.</w:t>
      </w:r>
    </w:p>
    <w:p w:rsidR="00C118BB" w:rsidRDefault="00C118BB" w:rsidP="00C118BB"/>
    <w:p w:rsidR="00C118BB" w:rsidRDefault="00C118BB" w:rsidP="00E46110">
      <w:pPr>
        <w:pStyle w:val="Heading2"/>
      </w:pPr>
      <w:r w:rsidRPr="00C118BB">
        <w:t>Charlotte Jones, Independent Theatre Council</w:t>
      </w:r>
    </w:p>
    <w:p w:rsidR="00CE0E9F" w:rsidRPr="00324B64" w:rsidRDefault="00CE0E9F" w:rsidP="00C118BB">
      <w:pPr>
        <w:pStyle w:val="ListParagraph"/>
        <w:numPr>
          <w:ilvl w:val="0"/>
          <w:numId w:val="11"/>
        </w:numPr>
        <w:rPr>
          <w:b/>
        </w:rPr>
      </w:pPr>
      <w:r>
        <w:t>In 2005 the Independent Theatre Council created a wellbeing panel</w:t>
      </w:r>
      <w:r w:rsidR="00324B64">
        <w:t>. The c</w:t>
      </w:r>
      <w:r>
        <w:t>oncept of “measuring what matters” stuck in people’s minds as a result</w:t>
      </w:r>
      <w:r w:rsidR="00324B64">
        <w:t xml:space="preserve"> of the panel.</w:t>
      </w:r>
    </w:p>
    <w:p w:rsidR="00CE0E9F" w:rsidRPr="00CE0E9F" w:rsidRDefault="00324B64" w:rsidP="00C118BB">
      <w:pPr>
        <w:pStyle w:val="ListParagraph"/>
        <w:numPr>
          <w:ilvl w:val="0"/>
          <w:numId w:val="11"/>
        </w:numPr>
        <w:rPr>
          <w:b/>
        </w:rPr>
      </w:pPr>
      <w:r>
        <w:t>They though that w</w:t>
      </w:r>
      <w:r w:rsidR="00CE0E9F">
        <w:t xml:space="preserve">ellbeing </w:t>
      </w:r>
      <w:r w:rsidR="00A4711D">
        <w:t xml:space="preserve">could be used as a way to measure the </w:t>
      </w:r>
      <w:r>
        <w:t xml:space="preserve">intrinsic </w:t>
      </w:r>
      <w:r w:rsidR="00BF2218">
        <w:t xml:space="preserve">value as opposed to </w:t>
      </w:r>
      <w:r w:rsidR="00A4711D">
        <w:t>instrumental value</w:t>
      </w:r>
      <w:r w:rsidR="00BF2218">
        <w:t xml:space="preserve"> of theatre performances</w:t>
      </w:r>
      <w:r w:rsidR="00A4711D">
        <w:t>.</w:t>
      </w:r>
    </w:p>
    <w:p w:rsidR="00CE0E9F" w:rsidRPr="00A4711D" w:rsidRDefault="00A4711D" w:rsidP="00C118BB">
      <w:pPr>
        <w:pStyle w:val="ListParagraph"/>
        <w:numPr>
          <w:ilvl w:val="0"/>
          <w:numId w:val="11"/>
        </w:numPr>
        <w:rPr>
          <w:b/>
        </w:rPr>
      </w:pPr>
      <w:r>
        <w:t>The Independent Theatre Council c</w:t>
      </w:r>
      <w:r w:rsidR="00CE0E9F">
        <w:t>reated</w:t>
      </w:r>
      <w:r>
        <w:t xml:space="preserve"> a</w:t>
      </w:r>
      <w:r w:rsidR="00CE0E9F">
        <w:t xml:space="preserve"> </w:t>
      </w:r>
      <w:r>
        <w:t>“</w:t>
      </w:r>
      <w:r w:rsidR="00CE0E9F">
        <w:t>Capturing Audience Experience</w:t>
      </w:r>
      <w:r>
        <w:t>”</w:t>
      </w:r>
      <w:r w:rsidR="00CE0E9F">
        <w:t xml:space="preserve"> tool in conjunction with the new economics foundation</w:t>
      </w:r>
      <w:r>
        <w:t xml:space="preserve">. </w:t>
      </w:r>
      <w:r w:rsidR="00CE0E9F">
        <w:t>The tool got artists thinking about what the purpose of their work is</w:t>
      </w:r>
      <w:r>
        <w:t xml:space="preserve">. The tool is available on their website as a pack which others can use. </w:t>
      </w:r>
    </w:p>
    <w:p w:rsidR="00A4711D" w:rsidRPr="00A4711D" w:rsidRDefault="00A4711D" w:rsidP="00C118BB">
      <w:pPr>
        <w:pStyle w:val="ListParagraph"/>
        <w:numPr>
          <w:ilvl w:val="0"/>
          <w:numId w:val="11"/>
        </w:numPr>
        <w:rPr>
          <w:b/>
        </w:rPr>
      </w:pPr>
      <w:r>
        <w:t xml:space="preserve">They have found that the tool has been received well because it was </w:t>
      </w:r>
      <w:r w:rsidR="00CE0E9F">
        <w:t>created and owned by the theatre sector (importantly, not top-down arts council intervention)</w:t>
      </w:r>
      <w:r>
        <w:t>, and a</w:t>
      </w:r>
      <w:r w:rsidR="00CE0E9F">
        <w:t xml:space="preserve">udiences have engaged with the tool because they like to answer the kinds of questions that it asks. </w:t>
      </w:r>
    </w:p>
    <w:p w:rsidR="00CE0E9F" w:rsidRPr="00CE0E9F" w:rsidRDefault="00A4711D" w:rsidP="00C118BB">
      <w:pPr>
        <w:pStyle w:val="ListParagraph"/>
        <w:numPr>
          <w:ilvl w:val="0"/>
          <w:numId w:val="11"/>
        </w:numPr>
        <w:rPr>
          <w:b/>
        </w:rPr>
      </w:pPr>
      <w:r>
        <w:t>The Independent Theatre Council s</w:t>
      </w:r>
      <w:r w:rsidR="00CE0E9F">
        <w:t>ee</w:t>
      </w:r>
      <w:r>
        <w:t>s</w:t>
      </w:r>
      <w:r w:rsidR="00CE0E9F">
        <w:t xml:space="preserve"> it as a useful piece of the jigsaw on how to piece together the role of wellbeing in the sector</w:t>
      </w:r>
      <w:r>
        <w:t>,</w:t>
      </w:r>
      <w:r w:rsidR="00CE0E9F">
        <w:t xml:space="preserve"> and </w:t>
      </w:r>
      <w:r>
        <w:t xml:space="preserve">is </w:t>
      </w:r>
      <w:r w:rsidR="00CE0E9F">
        <w:t xml:space="preserve">interested in how </w:t>
      </w:r>
      <w:r>
        <w:t xml:space="preserve">the </w:t>
      </w:r>
      <w:r w:rsidR="00CE0E9F">
        <w:t xml:space="preserve">tool </w:t>
      </w:r>
      <w:r w:rsidR="00BF2218">
        <w:t xml:space="preserve">could be adapted to work </w:t>
      </w:r>
      <w:r w:rsidR="00CE0E9F">
        <w:t>across other cultural sectors.</w:t>
      </w:r>
    </w:p>
    <w:p w:rsidR="00CE0E9F" w:rsidRDefault="00CE0E9F" w:rsidP="00CE0E9F"/>
    <w:p w:rsidR="00CE0E9F" w:rsidRDefault="00CE0E9F" w:rsidP="00E46110">
      <w:pPr>
        <w:pStyle w:val="Heading2"/>
      </w:pPr>
      <w:r w:rsidRPr="00CE0E9F">
        <w:t>Alan Davey, Arts Council</w:t>
      </w:r>
    </w:p>
    <w:p w:rsidR="00CE0E9F" w:rsidRDefault="00A4711D" w:rsidP="00CE0E9F">
      <w:pPr>
        <w:pStyle w:val="ListParagraph"/>
        <w:numPr>
          <w:ilvl w:val="0"/>
          <w:numId w:val="12"/>
        </w:numPr>
      </w:pPr>
      <w:r>
        <w:t>The Arts Council has</w:t>
      </w:r>
      <w:r w:rsidR="00CE0E9F">
        <w:t xml:space="preserve"> yo-yoed between</w:t>
      </w:r>
      <w:r>
        <w:t xml:space="preserve"> valuing the</w:t>
      </w:r>
      <w:r w:rsidR="00CE0E9F">
        <w:t xml:space="preserve"> intrinsic and instrumental value of art</w:t>
      </w:r>
      <w:r>
        <w:t>. They d</w:t>
      </w:r>
      <w:r w:rsidR="00CE0E9F">
        <w:t xml:space="preserve">on’t want to stray from the question of </w:t>
      </w:r>
      <w:r>
        <w:t xml:space="preserve">the </w:t>
      </w:r>
      <w:r w:rsidR="00CE0E9F">
        <w:t>quality of art itself</w:t>
      </w:r>
      <w:r>
        <w:t>.</w:t>
      </w:r>
    </w:p>
    <w:p w:rsidR="00CE0E9F" w:rsidRDefault="00CE0E9F" w:rsidP="00CE0E9F">
      <w:pPr>
        <w:pStyle w:val="ListParagraph"/>
        <w:numPr>
          <w:ilvl w:val="0"/>
          <w:numId w:val="12"/>
        </w:numPr>
      </w:pPr>
      <w:r>
        <w:t>In the next twelve months, they are investigating the imp</w:t>
      </w:r>
      <w:r w:rsidR="00A4711D">
        <w:t>a</w:t>
      </w:r>
      <w:r>
        <w:t>ct of culture</w:t>
      </w:r>
      <w:r w:rsidR="00A4711D">
        <w:t xml:space="preserve"> in terms of social and economic effects.</w:t>
      </w:r>
    </w:p>
    <w:p w:rsidR="00A4711D" w:rsidRDefault="00A4711D" w:rsidP="00A4711D">
      <w:pPr>
        <w:pStyle w:val="ListParagraph"/>
        <w:numPr>
          <w:ilvl w:val="0"/>
          <w:numId w:val="12"/>
        </w:numPr>
      </w:pPr>
      <w:r>
        <w:t>They want there to be s</w:t>
      </w:r>
      <w:r w:rsidR="00CE0E9F">
        <w:t xml:space="preserve">omething </w:t>
      </w:r>
      <w:r>
        <w:t xml:space="preserve">for all audiences </w:t>
      </w:r>
      <w:r w:rsidR="00CE0E9F">
        <w:t>to reflect need for different funders</w:t>
      </w:r>
      <w:r>
        <w:t xml:space="preserve">, </w:t>
      </w:r>
      <w:r w:rsidR="00CE0E9F">
        <w:t xml:space="preserve"> </w:t>
      </w:r>
      <w:r>
        <w:t xml:space="preserve">such as </w:t>
      </w:r>
      <w:r w:rsidR="00CE0E9F">
        <w:t>social</w:t>
      </w:r>
      <w:r>
        <w:t xml:space="preserve"> or health services, and they feel that they n</w:t>
      </w:r>
      <w:r w:rsidR="00CE0E9F">
        <w:t>eed to better equip art organisations to argue for their impact</w:t>
      </w:r>
      <w:r>
        <w:t xml:space="preserve">. </w:t>
      </w:r>
    </w:p>
    <w:p w:rsidR="00CE0E9F" w:rsidRDefault="00A4711D" w:rsidP="00A4711D">
      <w:pPr>
        <w:pStyle w:val="ListParagraph"/>
        <w:numPr>
          <w:ilvl w:val="0"/>
          <w:numId w:val="12"/>
        </w:numPr>
      </w:pPr>
      <w:r>
        <w:t>A problem that they experience is that p</w:t>
      </w:r>
      <w:r w:rsidR="00CE0E9F">
        <w:t>eople’s belief in, and willingness to engage with arts is patchy</w:t>
      </w:r>
      <w:r>
        <w:t xml:space="preserve">, so the Arts Council </w:t>
      </w:r>
      <w:r w:rsidR="00CE0E9F">
        <w:t>find</w:t>
      </w:r>
      <w:r>
        <w:t>s</w:t>
      </w:r>
      <w:r w:rsidR="00CE0E9F">
        <w:t xml:space="preserve"> it </w:t>
      </w:r>
      <w:r>
        <w:t>difficult</w:t>
      </w:r>
      <w:r w:rsidR="00CE0E9F">
        <w:t xml:space="preserve"> to capture public values of arts activity</w:t>
      </w:r>
      <w:r>
        <w:t>.</w:t>
      </w:r>
    </w:p>
    <w:p w:rsidR="00CE0E9F" w:rsidRDefault="00A4711D" w:rsidP="00A4711D">
      <w:pPr>
        <w:pStyle w:val="ListParagraph"/>
        <w:numPr>
          <w:ilvl w:val="0"/>
          <w:numId w:val="12"/>
        </w:numPr>
      </w:pPr>
      <w:r>
        <w:t>Existing e</w:t>
      </w:r>
      <w:r w:rsidR="00CE0E9F">
        <w:t>vidence</w:t>
      </w:r>
      <w:r>
        <w:t xml:space="preserve"> on this</w:t>
      </w:r>
      <w:r w:rsidR="00CE0E9F">
        <w:t xml:space="preserve"> is patchy</w:t>
      </w:r>
      <w:r>
        <w:t xml:space="preserve">, but there was </w:t>
      </w:r>
      <w:r w:rsidR="00CE0E9F">
        <w:t xml:space="preserve">a Scottish study of life satisfaction and sports </w:t>
      </w:r>
      <w:r>
        <w:t>involvement, which is consisten</w:t>
      </w:r>
      <w:r w:rsidR="00CE0E9F">
        <w:t xml:space="preserve">t with </w:t>
      </w:r>
      <w:r>
        <w:t>studies</w:t>
      </w:r>
      <w:r w:rsidR="00CE0E9F">
        <w:t xml:space="preserve"> </w:t>
      </w:r>
      <w:r>
        <w:t xml:space="preserve">carried out </w:t>
      </w:r>
      <w:r w:rsidR="00CE0E9F">
        <w:t>in Scandinavia</w:t>
      </w:r>
      <w:r>
        <w:t xml:space="preserve">, which shows </w:t>
      </w:r>
      <w:r w:rsidR="00CE0E9F">
        <w:t xml:space="preserve">that involvement in </w:t>
      </w:r>
      <w:r>
        <w:t>different arts is beneficial for</w:t>
      </w:r>
      <w:r w:rsidRPr="00BF2218">
        <w:rPr>
          <w:u w:val="single"/>
        </w:rPr>
        <w:t xml:space="preserve"> health</w:t>
      </w:r>
      <w:r>
        <w:t>. The</w:t>
      </w:r>
      <w:r w:rsidR="00BF2218">
        <w:t xml:space="preserve"> B</w:t>
      </w:r>
      <w:r w:rsidR="00CE0E9F">
        <w:t>aring Foundation</w:t>
      </w:r>
      <w:r>
        <w:t>’s study on</w:t>
      </w:r>
      <w:r w:rsidR="00CE0E9F">
        <w:t xml:space="preserve"> arts and people in care homes</w:t>
      </w:r>
      <w:r>
        <w:t xml:space="preserve"> and another study on</w:t>
      </w:r>
      <w:r w:rsidR="00CE0E9F">
        <w:t xml:space="preserve"> </w:t>
      </w:r>
      <w:r>
        <w:t>engaging y</w:t>
      </w:r>
      <w:r w:rsidR="00CE0E9F">
        <w:t xml:space="preserve">oung </w:t>
      </w:r>
      <w:r>
        <w:t>offenders</w:t>
      </w:r>
      <w:r w:rsidR="00CE0E9F">
        <w:t xml:space="preserve"> </w:t>
      </w:r>
      <w:r>
        <w:t>with</w:t>
      </w:r>
      <w:r w:rsidR="00CE0E9F">
        <w:t xml:space="preserve"> music </w:t>
      </w:r>
      <w:r>
        <w:t>have seen good results.</w:t>
      </w:r>
    </w:p>
    <w:p w:rsidR="00CE0E9F" w:rsidRDefault="00B86ADC" w:rsidP="00A4711D">
      <w:pPr>
        <w:pStyle w:val="ListParagraph"/>
        <w:numPr>
          <w:ilvl w:val="0"/>
          <w:numId w:val="12"/>
        </w:numPr>
      </w:pPr>
      <w:r>
        <w:t xml:space="preserve">Alan thinks that the culture sector has </w:t>
      </w:r>
      <w:r w:rsidR="00CE0E9F">
        <w:t xml:space="preserve">a role to play in </w:t>
      </w:r>
      <w:r>
        <w:t xml:space="preserve">increasing </w:t>
      </w:r>
      <w:r w:rsidR="00CE0E9F">
        <w:t>wellbeing</w:t>
      </w:r>
      <w:r>
        <w:t>, but it is difficult to get hold of people in the health sector. He would</w:t>
      </w:r>
      <w:r w:rsidR="00CE0E9F">
        <w:t xml:space="preserve"> like a foothold with department of </w:t>
      </w:r>
      <w:r w:rsidR="00A4711D">
        <w:t>health</w:t>
      </w:r>
      <w:r>
        <w:t>.</w:t>
      </w:r>
    </w:p>
    <w:p w:rsidR="00CE0E9F" w:rsidRDefault="00B86ADC" w:rsidP="000F1C17">
      <w:pPr>
        <w:pStyle w:val="ListParagraph"/>
        <w:numPr>
          <w:ilvl w:val="0"/>
          <w:numId w:val="12"/>
        </w:numPr>
        <w:ind w:left="714" w:hanging="357"/>
      </w:pPr>
      <w:r>
        <w:t>If culture was acknowledged as being beneficial to other sectors, then it could be possible to lever money from those budgets.</w:t>
      </w:r>
    </w:p>
    <w:p w:rsidR="00CE0E9F" w:rsidRDefault="00B86ADC" w:rsidP="00A4711D">
      <w:pPr>
        <w:pStyle w:val="ListParagraph"/>
        <w:numPr>
          <w:ilvl w:val="0"/>
          <w:numId w:val="12"/>
        </w:numPr>
      </w:pPr>
      <w:r>
        <w:t>Alan is u</w:t>
      </w:r>
      <w:r w:rsidR="00CE0E9F">
        <w:t xml:space="preserve">nsure about using </w:t>
      </w:r>
      <w:r>
        <w:t xml:space="preserve">wellbeing </w:t>
      </w:r>
      <w:r w:rsidR="00CE0E9F">
        <w:t>evidence to prioritise spending</w:t>
      </w:r>
      <w:r>
        <w:t xml:space="preserve"> within culture,</w:t>
      </w:r>
      <w:r w:rsidR="00CE0E9F">
        <w:t xml:space="preserve"> as different individuals have different needs</w:t>
      </w:r>
      <w:r>
        <w:t>.</w:t>
      </w:r>
    </w:p>
    <w:p w:rsidR="00CE0E9F" w:rsidRDefault="00CE0E9F" w:rsidP="00E46110">
      <w:pPr>
        <w:pStyle w:val="Heading2"/>
      </w:pPr>
      <w:r w:rsidRPr="00CE0E9F">
        <w:t>Gareth Maeer, Heritage Lottery Fund</w:t>
      </w:r>
    </w:p>
    <w:p w:rsidR="000F1C17" w:rsidRDefault="000F1C17" w:rsidP="00CA4DFE">
      <w:pPr>
        <w:pStyle w:val="ListParagraph"/>
        <w:numPr>
          <w:ilvl w:val="0"/>
          <w:numId w:val="13"/>
        </w:numPr>
        <w:spacing w:afterLines="200"/>
        <w:ind w:left="714" w:hanging="357"/>
      </w:pPr>
      <w:r w:rsidRPr="000F1C17">
        <w:t>The Heritage Lottery Fund receives 2,000 applications for funding each year, but is currently unable to fund more than half of those. Gareth is interested in exploring the potential for using wellbeing evidence to help with setting strategic priorities for funding, though he believes it is unlikely that a simple well-being metric could be used for the assessment of individual projects</w:t>
      </w:r>
      <w:r w:rsidR="002740D9" w:rsidRPr="000F1C17">
        <w:t>.</w:t>
      </w:r>
    </w:p>
    <w:p w:rsidR="000F1C17" w:rsidRPr="000F1C17" w:rsidRDefault="000F1C17" w:rsidP="00CA4DFE">
      <w:pPr>
        <w:pStyle w:val="ListParagraph"/>
        <w:numPr>
          <w:ilvl w:val="0"/>
          <w:numId w:val="13"/>
        </w:numPr>
        <w:spacing w:afterLines="200"/>
        <w:ind w:left="714" w:hanging="357"/>
      </w:pPr>
      <w:bookmarkStart w:id="0" w:name="_GoBack"/>
      <w:bookmarkEnd w:id="0"/>
      <w:r w:rsidRPr="000F1C17">
        <w:t>In earlier years Heritage Lottery Fund used criteria about project activities - conservation, learning, and participation - to set the priorities for funding. There was an implicit belief that these activities were associated with wellbeing benefits for people, though no work at that time had been done to substantiate the scale of these benefits. More recently the Fund has changed  tack as it found an approach based on activities to be too prescriptive and because it left it  ambiguous whether or not impacts of projects such as environmental impacts, changing business structures, economic benefits etc were important or not to HLF. The new approach uses an 'outcomes framework' with outcomes grouped into three groups centred around heritage, the experience of individuals, and a societal scale. In effect this creates a type of multi-criteria analysis to inform judgements about applications. Although this approach is not perfect HLF does see it as an improvement and it has been well-received by applicants as well.</w:t>
      </w:r>
    </w:p>
    <w:p w:rsidR="000F1C17" w:rsidRPr="000F1C17" w:rsidRDefault="000F1C17" w:rsidP="00CA4DFE">
      <w:pPr>
        <w:pStyle w:val="ListParagraph"/>
        <w:numPr>
          <w:ilvl w:val="0"/>
          <w:numId w:val="13"/>
        </w:numPr>
        <w:spacing w:afterLines="200"/>
        <w:ind w:left="714" w:hanging="357"/>
      </w:pPr>
      <w:r w:rsidRPr="000F1C17">
        <w:t xml:space="preserve">There is still no explicit reference to wellbeing, but instead, an implicit assumption of a link to wellbeing (enjoyment etc.) </w:t>
      </w:r>
    </w:p>
    <w:p w:rsidR="000F1C17" w:rsidRDefault="000F1C17" w:rsidP="00CA4DFE">
      <w:pPr>
        <w:pStyle w:val="ListParagraph"/>
        <w:numPr>
          <w:ilvl w:val="0"/>
          <w:numId w:val="13"/>
        </w:numPr>
        <w:spacing w:afterLines="200"/>
        <w:ind w:left="714" w:hanging="357"/>
      </w:pPr>
      <w:r w:rsidRPr="000F1C17">
        <w:t>In the future, Gareth sees the possibility that the Heritage Lottery Fund could use wellbeing measures to help it to make strategic decisions regarding the allocation of funding between (for example) large or small projects, types of heritage, geographic priorities. He is doubtful though, about using wellbeing evidence to select individual projects</w:t>
      </w:r>
    </w:p>
    <w:p w:rsidR="000F1C17" w:rsidRPr="000F1C17" w:rsidRDefault="000F1C17" w:rsidP="00CA4DFE">
      <w:pPr>
        <w:pStyle w:val="ListParagraph"/>
        <w:numPr>
          <w:ilvl w:val="0"/>
          <w:numId w:val="13"/>
        </w:numPr>
        <w:spacing w:afterLines="200"/>
        <w:ind w:left="714" w:hanging="357"/>
      </w:pPr>
      <w:r w:rsidRPr="000F1C17">
        <w:t>For this reason Gareth is interested in doing more work onthe links between people's engagement with HLF funded projects and wellbeing. The Fund has already done one piece of research relating to the well-being benefits of volunteering on heritage projects. This comprised research with 725 volunteers across 130 randomly selected projects, asking a range of both psychological and hedonic wellbeing questions, and comparing results to those for the UK population as a whole taken from the General Health Questionnaire. The research found that volunteering had a positive impact on wellbeing and that this was greater for 'atypical' volunteers (younger and less well educated). However the relatively low numbers of these atypical volunteers meant that the greater, aggregate effect of the funding was to improve the well-being of older, well-educated people, who characteristically have high levels of well-being in the first place. Gareth thinks the relevance of this research to well-being policy is: the case it makes it makes for the importance of volunteering in managing successful transitions both into and out of the workforce; the importance of volunteering for retirees which re-creates the 'best moments' of working life through activities that are engaging, stretching and create a sense of purpose for individuals; and (possibly) the value of inter-generational contact for well-being.</w:t>
      </w:r>
    </w:p>
    <w:p w:rsidR="00361730" w:rsidRPr="000F1C17" w:rsidRDefault="00361730" w:rsidP="00CA4DFE">
      <w:pPr>
        <w:spacing w:afterLines="200"/>
        <w:ind w:left="714" w:hanging="357"/>
        <w:contextualSpacing/>
      </w:pPr>
    </w:p>
    <w:p w:rsidR="00361730" w:rsidRDefault="00361730" w:rsidP="00E46110">
      <w:pPr>
        <w:pStyle w:val="Heading2"/>
      </w:pPr>
      <w:r w:rsidRPr="00361730">
        <w:t>Dave O’Brien, City University London</w:t>
      </w:r>
    </w:p>
    <w:p w:rsidR="00361730" w:rsidRDefault="00EE42BC" w:rsidP="00361730">
      <w:pPr>
        <w:pStyle w:val="ListParagraph"/>
        <w:numPr>
          <w:ilvl w:val="0"/>
          <w:numId w:val="14"/>
        </w:numPr>
      </w:pPr>
      <w:r>
        <w:t>In this session, we have seen v</w:t>
      </w:r>
      <w:r w:rsidR="00361730">
        <w:t>arious uses of the term wellbeing</w:t>
      </w:r>
      <w:r>
        <w:t>. It is important that we clearly define what we mean by wellbeing and are careful about use of the term if we want to create a narrative to fight for increases to wellbeing that doesn’t get confused with the technical use of the term.</w:t>
      </w:r>
    </w:p>
    <w:p w:rsidR="00361730" w:rsidRDefault="00EE42BC" w:rsidP="00361730">
      <w:pPr>
        <w:pStyle w:val="ListParagraph"/>
        <w:numPr>
          <w:ilvl w:val="0"/>
          <w:numId w:val="14"/>
        </w:numPr>
      </w:pPr>
      <w:r>
        <w:t>There is a r</w:t>
      </w:r>
      <w:r w:rsidR="00361730">
        <w:t>isk</w:t>
      </w:r>
      <w:r>
        <w:t xml:space="preserve"> associate</w:t>
      </w:r>
      <w:r w:rsidR="001A7053">
        <w:t>d</w:t>
      </w:r>
      <w:r>
        <w:t xml:space="preserve"> with using wellbeing evidence in an attempt to increase spending on culture, in that if</w:t>
      </w:r>
      <w:r w:rsidR="00361730">
        <w:t xml:space="preserve"> being healthy and employed </w:t>
      </w:r>
      <w:r>
        <w:t>are the</w:t>
      </w:r>
      <w:r w:rsidR="00361730">
        <w:t xml:space="preserve"> biggest </w:t>
      </w:r>
      <w:r w:rsidR="001A7053">
        <w:t>drivers</w:t>
      </w:r>
      <w:r w:rsidR="00361730">
        <w:t xml:space="preserve"> of wellbeing</w:t>
      </w:r>
      <w:r>
        <w:t xml:space="preserve"> (which they seem to be), then it might be concluded that</w:t>
      </w:r>
      <w:r w:rsidR="00361730">
        <w:t xml:space="preserve"> wellbeing </w:t>
      </w:r>
      <w:r>
        <w:t xml:space="preserve">can best be </w:t>
      </w:r>
      <w:r w:rsidR="00361730">
        <w:t>increased by focussing government funding on employment policies</w:t>
      </w:r>
      <w:r>
        <w:t>,</w:t>
      </w:r>
      <w:r w:rsidR="00361730">
        <w:t xml:space="preserve"> rather than </w:t>
      </w:r>
      <w:r>
        <w:t>on cultural spending.</w:t>
      </w:r>
    </w:p>
    <w:p w:rsidR="00361730" w:rsidRDefault="00EE42BC" w:rsidP="00361730">
      <w:pPr>
        <w:pStyle w:val="ListParagraph"/>
        <w:numPr>
          <w:ilvl w:val="0"/>
          <w:numId w:val="14"/>
        </w:numPr>
      </w:pPr>
      <w:r>
        <w:t>In addition, c</w:t>
      </w:r>
      <w:r w:rsidR="00361730">
        <w:t>ultural consumption tends to appeal to wealthier, more educated</w:t>
      </w:r>
      <w:r>
        <w:t xml:space="preserve"> individuals. Is it right for the s</w:t>
      </w:r>
      <w:r w:rsidR="00361730">
        <w:t>tate</w:t>
      </w:r>
      <w:r>
        <w:t xml:space="preserve"> to</w:t>
      </w:r>
      <w:r w:rsidR="00361730">
        <w:t xml:space="preserve"> subsidi</w:t>
      </w:r>
      <w:r>
        <w:t xml:space="preserve">se or </w:t>
      </w:r>
      <w:r w:rsidR="00361730">
        <w:t>fund</w:t>
      </w:r>
      <w:r>
        <w:t xml:space="preserve"> work to improve the wellbeing of these groups, which are likely to already have higher than average wellbeing?</w:t>
      </w:r>
    </w:p>
    <w:p w:rsidR="00361730" w:rsidRDefault="00EE42BC" w:rsidP="00361730">
      <w:pPr>
        <w:pStyle w:val="ListParagraph"/>
        <w:numPr>
          <w:ilvl w:val="0"/>
          <w:numId w:val="14"/>
        </w:numPr>
      </w:pPr>
      <w:r>
        <w:t>This poses the questions</w:t>
      </w:r>
      <w:r w:rsidR="00361730">
        <w:t>: what do we want government money to do?</w:t>
      </w:r>
      <w:r>
        <w:t xml:space="preserve"> </w:t>
      </w:r>
      <w:r w:rsidR="00361730">
        <w:t>What kind of cultural policy will we get if we focus on wellbeing?</w:t>
      </w:r>
    </w:p>
    <w:p w:rsidR="00E46110" w:rsidRDefault="00E46110" w:rsidP="00361730">
      <w:pPr>
        <w:rPr>
          <w:b/>
        </w:rPr>
      </w:pPr>
    </w:p>
    <w:p w:rsidR="00361730" w:rsidRDefault="00361730" w:rsidP="00E46110">
      <w:pPr>
        <w:pStyle w:val="Heading1"/>
      </w:pPr>
      <w:r>
        <w:t>Group members’ responses</w:t>
      </w:r>
      <w:r w:rsidR="00E46110">
        <w:t xml:space="preserve"> and questions</w:t>
      </w:r>
    </w:p>
    <w:p w:rsidR="00361730" w:rsidRDefault="00361730" w:rsidP="00E46110">
      <w:pPr>
        <w:pStyle w:val="Heading2"/>
      </w:pPr>
      <w:r w:rsidRPr="00361730">
        <w:t>Helen Goodman, Shadow Minister for Culture and Media (Labour)</w:t>
      </w:r>
    </w:p>
    <w:p w:rsidR="00BF7C08" w:rsidRPr="00BF7C08" w:rsidRDefault="00BF7C08" w:rsidP="00361730">
      <w:pPr>
        <w:pStyle w:val="ListParagraph"/>
        <w:numPr>
          <w:ilvl w:val="0"/>
          <w:numId w:val="15"/>
        </w:numPr>
        <w:rPr>
          <w:b/>
        </w:rPr>
      </w:pPr>
      <w:r w:rsidRPr="00BF7C08">
        <w:rPr>
          <w:b/>
        </w:rPr>
        <w:t>[</w:t>
      </w:r>
      <w:r>
        <w:rPr>
          <w:b/>
        </w:rPr>
        <w:t>In response t</w:t>
      </w:r>
      <w:r w:rsidRPr="00BF7C08">
        <w:rPr>
          <w:b/>
        </w:rPr>
        <w:t>o Dave O’Brien]</w:t>
      </w:r>
      <w:r>
        <w:t xml:space="preserve"> </w:t>
      </w:r>
      <w:r w:rsidR="00361730">
        <w:t>Of cours</w:t>
      </w:r>
      <w:r>
        <w:t>e</w:t>
      </w:r>
      <w:r w:rsidR="00361730">
        <w:t xml:space="preserve"> health and employment have a big impact</w:t>
      </w:r>
      <w:r>
        <w:t xml:space="preserve"> on wellbeing</w:t>
      </w:r>
      <w:r w:rsidR="00361730">
        <w:t xml:space="preserve">, but impacting these is difficult. </w:t>
      </w:r>
      <w:r>
        <w:t>The c</w:t>
      </w:r>
      <w:r w:rsidR="00361730">
        <w:t xml:space="preserve">ultural sphere may represent quick wins. </w:t>
      </w:r>
    </w:p>
    <w:p w:rsidR="00361730" w:rsidRPr="00361730" w:rsidRDefault="00BF7C08" w:rsidP="00361730">
      <w:pPr>
        <w:pStyle w:val="ListParagraph"/>
        <w:numPr>
          <w:ilvl w:val="0"/>
          <w:numId w:val="15"/>
        </w:numPr>
        <w:rPr>
          <w:b/>
        </w:rPr>
      </w:pPr>
      <w:r w:rsidRPr="00BF7C08">
        <w:rPr>
          <w:b/>
        </w:rPr>
        <w:t>[</w:t>
      </w:r>
      <w:r>
        <w:rPr>
          <w:b/>
        </w:rPr>
        <w:t>In response t</w:t>
      </w:r>
      <w:r w:rsidRPr="00BF7C08">
        <w:rPr>
          <w:b/>
        </w:rPr>
        <w:t>o Dave O’Brien]</w:t>
      </w:r>
      <w:r>
        <w:t xml:space="preserve"> </w:t>
      </w:r>
      <w:r w:rsidR="00361730">
        <w:t xml:space="preserve">Work by </w:t>
      </w:r>
      <w:r>
        <w:t xml:space="preserve">the </w:t>
      </w:r>
      <w:r w:rsidR="00361730">
        <w:t>Arts Council and Heritage Lottery Fund in Durham</w:t>
      </w:r>
      <w:r>
        <w:t xml:space="preserve"> produced a</w:t>
      </w:r>
      <w:r w:rsidR="00361730">
        <w:t xml:space="preserve"> brass </w:t>
      </w:r>
      <w:r>
        <w:t xml:space="preserve">band </w:t>
      </w:r>
      <w:r w:rsidR="00361730">
        <w:t>festival</w:t>
      </w:r>
      <w:r>
        <w:t>, which i</w:t>
      </w:r>
      <w:r w:rsidR="00361730">
        <w:t xml:space="preserve">mpacted </w:t>
      </w:r>
      <w:r>
        <w:t xml:space="preserve">upon the </w:t>
      </w:r>
      <w:r w:rsidR="00361730">
        <w:t>wellbeing of under-</w:t>
      </w:r>
      <w:r>
        <w:t>privileged members of society. The</w:t>
      </w:r>
      <w:r w:rsidR="00361730">
        <w:t xml:space="preserve"> Heritage Lottery Fund funded making of new banners </w:t>
      </w:r>
      <w:r>
        <w:t xml:space="preserve">which created a sense of </w:t>
      </w:r>
      <w:r w:rsidR="00361730">
        <w:t>community spirit. Wagner and brass</w:t>
      </w:r>
      <w:r w:rsidR="002C1989">
        <w:t xml:space="preserve"> </w:t>
      </w:r>
      <w:r w:rsidR="00361730">
        <w:t>band fans can both benefit</w:t>
      </w:r>
      <w:r w:rsidR="002C1989">
        <w:t xml:space="preserve"> from spending on culture</w:t>
      </w:r>
      <w:r w:rsidR="00361730">
        <w:t>.</w:t>
      </w:r>
    </w:p>
    <w:p w:rsidR="00361730" w:rsidRPr="0005510B" w:rsidRDefault="0081348D" w:rsidP="00361730">
      <w:pPr>
        <w:pStyle w:val="ListParagraph"/>
        <w:numPr>
          <w:ilvl w:val="0"/>
          <w:numId w:val="15"/>
        </w:numPr>
        <w:rPr>
          <w:b/>
        </w:rPr>
      </w:pPr>
      <w:r w:rsidRPr="00BF7C08">
        <w:rPr>
          <w:b/>
        </w:rPr>
        <w:t>[</w:t>
      </w:r>
      <w:r>
        <w:rPr>
          <w:b/>
        </w:rPr>
        <w:t>In response t</w:t>
      </w:r>
      <w:r w:rsidRPr="00BF7C08">
        <w:rPr>
          <w:b/>
        </w:rPr>
        <w:t xml:space="preserve">o </w:t>
      </w:r>
      <w:r w:rsidR="00361730" w:rsidRPr="0081348D">
        <w:rPr>
          <w:b/>
        </w:rPr>
        <w:t>Daniel Fujiwara]:</w:t>
      </w:r>
      <w:r w:rsidR="00361730">
        <w:t xml:space="preserve"> </w:t>
      </w:r>
      <w:r>
        <w:t>I</w:t>
      </w:r>
      <w:r w:rsidR="0005510B">
        <w:t>f participation benefits health, why don’t participative arts have higher values in terms of wellbeing?</w:t>
      </w:r>
    </w:p>
    <w:p w:rsidR="0005510B" w:rsidRPr="0005510B" w:rsidRDefault="0005510B" w:rsidP="00361730">
      <w:pPr>
        <w:pStyle w:val="ListParagraph"/>
        <w:numPr>
          <w:ilvl w:val="0"/>
          <w:numId w:val="15"/>
        </w:numPr>
        <w:rPr>
          <w:b/>
        </w:rPr>
      </w:pPr>
      <w:r w:rsidRPr="0081348D">
        <w:rPr>
          <w:b/>
        </w:rPr>
        <w:t>Daniel Fujiwara</w:t>
      </w:r>
      <w:r>
        <w:t xml:space="preserve">: </w:t>
      </w:r>
      <w:r w:rsidR="0081348D">
        <w:t>S</w:t>
      </w:r>
      <w:r>
        <w:t xml:space="preserve">ubjective wellbeing </w:t>
      </w:r>
      <w:r w:rsidR="0081348D">
        <w:t xml:space="preserve">scores tend to </w:t>
      </w:r>
      <w:r>
        <w:t xml:space="preserve">show </w:t>
      </w:r>
      <w:r w:rsidR="0081348D">
        <w:t xml:space="preserve">that </w:t>
      </w:r>
      <w:r>
        <w:t>mental</w:t>
      </w:r>
      <w:r w:rsidR="001A7053">
        <w:t xml:space="preserve"> and physical</w:t>
      </w:r>
      <w:r>
        <w:t xml:space="preserve"> health impacts</w:t>
      </w:r>
      <w:r w:rsidR="0081348D">
        <w:t xml:space="preserve"> </w:t>
      </w:r>
      <w:r>
        <w:t xml:space="preserve">wellbeing. </w:t>
      </w:r>
    </w:p>
    <w:p w:rsidR="0005510B" w:rsidRPr="0005510B" w:rsidRDefault="0081348D" w:rsidP="00361730">
      <w:pPr>
        <w:pStyle w:val="ListParagraph"/>
        <w:numPr>
          <w:ilvl w:val="0"/>
          <w:numId w:val="15"/>
        </w:numPr>
        <w:rPr>
          <w:b/>
        </w:rPr>
      </w:pPr>
      <w:r w:rsidRPr="00BF7C08">
        <w:rPr>
          <w:b/>
        </w:rPr>
        <w:t>[</w:t>
      </w:r>
      <w:r>
        <w:rPr>
          <w:b/>
        </w:rPr>
        <w:t>In response t</w:t>
      </w:r>
      <w:r w:rsidRPr="00BF7C08">
        <w:rPr>
          <w:b/>
        </w:rPr>
        <w:t>o</w:t>
      </w:r>
      <w:r>
        <w:rPr>
          <w:b/>
        </w:rPr>
        <w:t xml:space="preserve"> Alan Davey</w:t>
      </w:r>
      <w:r w:rsidR="0005510B" w:rsidRPr="0081348D">
        <w:rPr>
          <w:b/>
        </w:rPr>
        <w:t>]</w:t>
      </w:r>
      <w:r w:rsidR="0005510B">
        <w:t>: Are you saying better quality art produces more wellbeing?</w:t>
      </w:r>
    </w:p>
    <w:p w:rsidR="0005510B" w:rsidRPr="0005510B" w:rsidRDefault="0081348D" w:rsidP="00361730">
      <w:pPr>
        <w:pStyle w:val="ListParagraph"/>
        <w:numPr>
          <w:ilvl w:val="0"/>
          <w:numId w:val="15"/>
        </w:numPr>
        <w:rPr>
          <w:b/>
        </w:rPr>
      </w:pPr>
      <w:r>
        <w:rPr>
          <w:b/>
        </w:rPr>
        <w:t>Alan Davey:</w:t>
      </w:r>
      <w:r w:rsidR="0005510B">
        <w:t xml:space="preserve"> No, “excellent” art depends on its authenticity of intention</w:t>
      </w:r>
      <w:r>
        <w:t>.</w:t>
      </w:r>
    </w:p>
    <w:p w:rsidR="0005510B" w:rsidRPr="0005510B" w:rsidRDefault="0081348D" w:rsidP="00361730">
      <w:pPr>
        <w:pStyle w:val="ListParagraph"/>
        <w:numPr>
          <w:ilvl w:val="0"/>
          <w:numId w:val="15"/>
        </w:numPr>
        <w:rPr>
          <w:b/>
        </w:rPr>
      </w:pPr>
      <w:r w:rsidRPr="00BF7C08">
        <w:rPr>
          <w:b/>
        </w:rPr>
        <w:t>[</w:t>
      </w:r>
      <w:r>
        <w:rPr>
          <w:b/>
        </w:rPr>
        <w:t>In response t</w:t>
      </w:r>
      <w:r w:rsidRPr="00BF7C08">
        <w:rPr>
          <w:b/>
        </w:rPr>
        <w:t>o</w:t>
      </w:r>
      <w:r>
        <w:rPr>
          <w:b/>
        </w:rPr>
        <w:t xml:space="preserve"> Alan Davey</w:t>
      </w:r>
      <w:r w:rsidRPr="0081348D">
        <w:rPr>
          <w:b/>
        </w:rPr>
        <w:t>]</w:t>
      </w:r>
      <w:r>
        <w:t xml:space="preserve">: </w:t>
      </w:r>
      <w:r w:rsidR="0005510B">
        <w:t>What about th</w:t>
      </w:r>
      <w:r>
        <w:t>e fact that</w:t>
      </w:r>
      <w:r w:rsidR="0005510B">
        <w:t xml:space="preserve"> people going to the </w:t>
      </w:r>
      <w:r>
        <w:t>theatre</w:t>
      </w:r>
      <w:r w:rsidR="0005510B">
        <w:t xml:space="preserve"> are wealthier?</w:t>
      </w:r>
    </w:p>
    <w:p w:rsidR="0005510B" w:rsidRPr="00406296" w:rsidRDefault="0081348D" w:rsidP="00361730">
      <w:pPr>
        <w:pStyle w:val="ListParagraph"/>
        <w:numPr>
          <w:ilvl w:val="0"/>
          <w:numId w:val="15"/>
        </w:numPr>
        <w:rPr>
          <w:b/>
        </w:rPr>
      </w:pPr>
      <w:r>
        <w:rPr>
          <w:b/>
        </w:rPr>
        <w:t>Alan Davey:</w:t>
      </w:r>
      <w:r>
        <w:t xml:space="preserve"> </w:t>
      </w:r>
      <w:r w:rsidR="00B71C8A">
        <w:t>W</w:t>
      </w:r>
      <w:r w:rsidR="0005510B">
        <w:t>ant</w:t>
      </w:r>
      <w:r w:rsidR="00B71C8A">
        <w:t>s</w:t>
      </w:r>
      <w:r w:rsidR="0005510B">
        <w:t xml:space="preserve"> projects to be a spark that will engage individuals to have aspirations</w:t>
      </w:r>
      <w:r w:rsidR="00B71C8A">
        <w:t>.</w:t>
      </w:r>
    </w:p>
    <w:p w:rsidR="00406296" w:rsidRDefault="00406296" w:rsidP="00E46110">
      <w:pPr>
        <w:pStyle w:val="Heading2"/>
      </w:pPr>
      <w:r w:rsidRPr="00406296">
        <w:t>Alan Howarth, Former Minister for the Arts (Labour)</w:t>
      </w:r>
    </w:p>
    <w:p w:rsidR="00406296" w:rsidRDefault="00577989" w:rsidP="00406296">
      <w:pPr>
        <w:pStyle w:val="ListParagraph"/>
        <w:numPr>
          <w:ilvl w:val="0"/>
          <w:numId w:val="16"/>
        </w:numPr>
      </w:pPr>
      <w:r>
        <w:t>Alan is h</w:t>
      </w:r>
      <w:r w:rsidR="00406296">
        <w:t>ugely enthusiastic about</w:t>
      </w:r>
      <w:r>
        <w:t xml:space="preserve"> the </w:t>
      </w:r>
      <w:r w:rsidR="00406296">
        <w:t>elevation of wellbeing in politics</w:t>
      </w:r>
      <w:r>
        <w:t xml:space="preserve">. </w:t>
      </w:r>
      <w:r w:rsidR="00406296">
        <w:t xml:space="preserve">Many leave politics because of </w:t>
      </w:r>
      <w:r>
        <w:t xml:space="preserve">the </w:t>
      </w:r>
      <w:r w:rsidR="00406296">
        <w:t xml:space="preserve">depressing </w:t>
      </w:r>
      <w:r>
        <w:t>f</w:t>
      </w:r>
      <w:r w:rsidR="00406296">
        <w:t>ocus on the material</w:t>
      </w:r>
      <w:r>
        <w:t>, and so</w:t>
      </w:r>
      <w:r w:rsidR="00406296">
        <w:t xml:space="preserve"> wellbeing has a large part to play</w:t>
      </w:r>
      <w:r>
        <w:t>.</w:t>
      </w:r>
    </w:p>
    <w:p w:rsidR="00406296" w:rsidRDefault="00577989" w:rsidP="00406296">
      <w:pPr>
        <w:pStyle w:val="ListParagraph"/>
        <w:numPr>
          <w:ilvl w:val="0"/>
          <w:numId w:val="16"/>
        </w:numPr>
      </w:pPr>
      <w:r>
        <w:t>It seems s</w:t>
      </w:r>
      <w:r w:rsidR="00406296">
        <w:t>ort of obvious that the arts promote wellbeing</w:t>
      </w:r>
      <w:r>
        <w:t xml:space="preserve">. </w:t>
      </w:r>
    </w:p>
    <w:p w:rsidR="00406296" w:rsidRDefault="00577989" w:rsidP="00406296">
      <w:pPr>
        <w:pStyle w:val="ListParagraph"/>
        <w:numPr>
          <w:ilvl w:val="0"/>
          <w:numId w:val="16"/>
        </w:numPr>
      </w:pPr>
      <w:r>
        <w:t>It’s a g</w:t>
      </w:r>
      <w:r w:rsidR="00406296">
        <w:t xml:space="preserve">ood idea to continue exploring and refining what the </w:t>
      </w:r>
      <w:r>
        <w:t>ar</w:t>
      </w:r>
      <w:r w:rsidR="00406296">
        <w:t>ts are meant to be about</w:t>
      </w:r>
      <w:r>
        <w:t>.</w:t>
      </w:r>
    </w:p>
    <w:p w:rsidR="00406296" w:rsidRDefault="00577989" w:rsidP="00406296">
      <w:pPr>
        <w:pStyle w:val="ListParagraph"/>
        <w:numPr>
          <w:ilvl w:val="0"/>
          <w:numId w:val="16"/>
        </w:numPr>
      </w:pPr>
      <w:r w:rsidRPr="00577989">
        <w:rPr>
          <w:b/>
        </w:rPr>
        <w:t>[In response to Daniel Fujiwara]:</w:t>
      </w:r>
      <w:r>
        <w:t xml:space="preserve"> </w:t>
      </w:r>
      <w:r w:rsidR="00406296">
        <w:t>Monefication</w:t>
      </w:r>
      <w:r>
        <w:t xml:space="preserve"> of wellbeing gains seems to be</w:t>
      </w:r>
      <w:r w:rsidR="00406296">
        <w:t xml:space="preserve"> something of a metaphor – if not</w:t>
      </w:r>
      <w:r>
        <w:t>, one</w:t>
      </w:r>
      <w:r w:rsidR="00406296">
        <w:t xml:space="preserve"> could get bogged down</w:t>
      </w:r>
      <w:r>
        <w:t xml:space="preserve"> in the details of it. Funding in the a</w:t>
      </w:r>
      <w:r w:rsidR="00406296">
        <w:t>rts should subsidise what won’</w:t>
      </w:r>
      <w:r>
        <w:t xml:space="preserve">t be commercially viable or </w:t>
      </w:r>
      <w:r w:rsidR="00406296">
        <w:t xml:space="preserve">popular </w:t>
      </w:r>
      <w:r>
        <w:t>because it</w:t>
      </w:r>
      <w:r w:rsidR="00406296">
        <w:t xml:space="preserve"> can </w:t>
      </w:r>
      <w:r>
        <w:t xml:space="preserve">take decades or </w:t>
      </w:r>
      <w:r w:rsidR="00406296">
        <w:t>centuries for us to realise the value of certain arts</w:t>
      </w:r>
      <w:r>
        <w:t>.</w:t>
      </w:r>
    </w:p>
    <w:p w:rsidR="00577989" w:rsidRDefault="00577989" w:rsidP="00406296">
      <w:pPr>
        <w:pStyle w:val="ListParagraph"/>
        <w:numPr>
          <w:ilvl w:val="0"/>
          <w:numId w:val="16"/>
        </w:numPr>
      </w:pPr>
      <w:r w:rsidRPr="00BF7C08">
        <w:rPr>
          <w:b/>
        </w:rPr>
        <w:t>[</w:t>
      </w:r>
      <w:r>
        <w:rPr>
          <w:b/>
        </w:rPr>
        <w:t>In response t</w:t>
      </w:r>
      <w:r w:rsidRPr="00BF7C08">
        <w:rPr>
          <w:b/>
        </w:rPr>
        <w:t>o Dave O’Brien]</w:t>
      </w:r>
      <w:r>
        <w:t xml:space="preserve">: </w:t>
      </w:r>
      <w:r w:rsidR="00406296">
        <w:t>If the principal determinants of well</w:t>
      </w:r>
      <w:r>
        <w:t xml:space="preserve">being are employment and health, then this </w:t>
      </w:r>
      <w:r w:rsidR="00406296">
        <w:t>doesn’t exclude</w:t>
      </w:r>
      <w:r>
        <w:t xml:space="preserve"> the arts, wh</w:t>
      </w:r>
      <w:r w:rsidR="00406296">
        <w:t>ic</w:t>
      </w:r>
      <w:r>
        <w:t>h</w:t>
      </w:r>
      <w:r w:rsidR="00406296">
        <w:t xml:space="preserve"> create</w:t>
      </w:r>
      <w:r>
        <w:t>s</w:t>
      </w:r>
      <w:r w:rsidR="00406296">
        <w:t xml:space="preserve"> jobs, GDP, good health (</w:t>
      </w:r>
      <w:r>
        <w:t xml:space="preserve">according to a </w:t>
      </w:r>
      <w:r w:rsidR="00406296">
        <w:t>growing body of evidence)</w:t>
      </w:r>
      <w:r>
        <w:t xml:space="preserve">. Alan </w:t>
      </w:r>
      <w:r w:rsidR="00406296">
        <w:t>hopes</w:t>
      </w:r>
      <w:r>
        <w:t xml:space="preserve"> that the</w:t>
      </w:r>
      <w:r w:rsidR="00406296">
        <w:t xml:space="preserve"> arts council will reflect this</w:t>
      </w:r>
      <w:r>
        <w:t>.</w:t>
      </w:r>
    </w:p>
    <w:p w:rsidR="00406296" w:rsidRDefault="00406296" w:rsidP="00406296">
      <w:pPr>
        <w:pStyle w:val="ListParagraph"/>
        <w:numPr>
          <w:ilvl w:val="0"/>
          <w:numId w:val="16"/>
        </w:numPr>
      </w:pPr>
      <w:r w:rsidRPr="00577989">
        <w:rPr>
          <w:b/>
        </w:rPr>
        <w:t>Alan Davey:</w:t>
      </w:r>
      <w:r w:rsidR="00577989">
        <w:t xml:space="preserve"> It</w:t>
      </w:r>
      <w:r>
        <w:t xml:space="preserve"> has happened</w:t>
      </w:r>
      <w:r w:rsidR="00577989">
        <w:t xml:space="preserve"> in the past when </w:t>
      </w:r>
      <w:r>
        <w:t>arts and health ministers work</w:t>
      </w:r>
      <w:r w:rsidR="00577989">
        <w:t>ed</w:t>
      </w:r>
      <w:r>
        <w:t xml:space="preserve"> well</w:t>
      </w:r>
      <w:r w:rsidR="00577989">
        <w:t xml:space="preserve"> together.</w:t>
      </w:r>
    </w:p>
    <w:p w:rsidR="00406296" w:rsidRDefault="00577989" w:rsidP="00406296">
      <w:pPr>
        <w:pStyle w:val="ListParagraph"/>
        <w:numPr>
          <w:ilvl w:val="0"/>
          <w:numId w:val="16"/>
        </w:numPr>
      </w:pPr>
      <w:r w:rsidRPr="00577989">
        <w:rPr>
          <w:b/>
        </w:rPr>
        <w:t>[In response to Alan Davey]:</w:t>
      </w:r>
      <w:r>
        <w:t xml:space="preserve"> The n</w:t>
      </w:r>
      <w:r w:rsidR="00406296">
        <w:t xml:space="preserve">ew </w:t>
      </w:r>
      <w:r>
        <w:t>H</w:t>
      </w:r>
      <w:r w:rsidR="00406296">
        <w:t xml:space="preserve">ealth and </w:t>
      </w:r>
      <w:r>
        <w:t>W</w:t>
      </w:r>
      <w:r w:rsidR="00406296">
        <w:t xml:space="preserve">ellbeing </w:t>
      </w:r>
      <w:r>
        <w:t>B</w:t>
      </w:r>
      <w:r w:rsidR="00406296">
        <w:t xml:space="preserve">oard should contribute </w:t>
      </w:r>
      <w:r>
        <w:t xml:space="preserve">to this type of interaction </w:t>
      </w:r>
      <w:r w:rsidR="00406296">
        <w:t>and present an opportunity</w:t>
      </w:r>
      <w:r>
        <w:t xml:space="preserve"> for cooperation. It is </w:t>
      </w:r>
      <w:r w:rsidR="00406296">
        <w:t>designed to be cross</w:t>
      </w:r>
      <w:r>
        <w:t>-</w:t>
      </w:r>
      <w:r w:rsidR="00406296">
        <w:t>boundary</w:t>
      </w:r>
    </w:p>
    <w:p w:rsidR="00406296" w:rsidRDefault="00406296" w:rsidP="00E46110">
      <w:pPr>
        <w:pStyle w:val="Heading2"/>
      </w:pPr>
      <w:r w:rsidRPr="00406296">
        <w:t xml:space="preserve">David Lammy, </w:t>
      </w:r>
      <w:hyperlink r:id="rId6" w:tooltip="Minister of State" w:history="1">
        <w:r w:rsidRPr="00406296">
          <w:t>Minister of State</w:t>
        </w:r>
      </w:hyperlink>
      <w:r w:rsidRPr="00406296">
        <w:t> for </w:t>
      </w:r>
      <w:hyperlink r:id="rId7" w:tooltip="Department for Business, Innovation and Skills" w:history="1">
        <w:r w:rsidRPr="00406296">
          <w:t>Innovation, Universities and Skills</w:t>
        </w:r>
      </w:hyperlink>
      <w:r w:rsidRPr="00406296">
        <w:t xml:space="preserve"> (Labour)</w:t>
      </w:r>
    </w:p>
    <w:p w:rsidR="00406296" w:rsidRDefault="002C2F01" w:rsidP="00406296">
      <w:pPr>
        <w:pStyle w:val="ListParagraph"/>
        <w:numPr>
          <w:ilvl w:val="0"/>
          <w:numId w:val="17"/>
        </w:numPr>
      </w:pPr>
      <w:r w:rsidRPr="00577989">
        <w:rPr>
          <w:b/>
        </w:rPr>
        <w:t>[In response to</w:t>
      </w:r>
      <w:r>
        <w:rPr>
          <w:b/>
        </w:rPr>
        <w:t xml:space="preserve"> Gareth Maeer]: </w:t>
      </w:r>
      <w:r w:rsidR="00406296" w:rsidRPr="00406296">
        <w:t>Gareth was sceptical about wellbeing in looking</w:t>
      </w:r>
      <w:r w:rsidR="00406296">
        <w:t xml:space="preserve"> at individual applications</w:t>
      </w:r>
      <w:r>
        <w:t>.</w:t>
      </w:r>
    </w:p>
    <w:p w:rsidR="00406296" w:rsidRDefault="00406296" w:rsidP="00406296">
      <w:pPr>
        <w:pStyle w:val="ListParagraph"/>
        <w:numPr>
          <w:ilvl w:val="0"/>
          <w:numId w:val="17"/>
        </w:numPr>
      </w:pPr>
      <w:r w:rsidRPr="002C2F01">
        <w:rPr>
          <w:b/>
        </w:rPr>
        <w:t>Gareth</w:t>
      </w:r>
      <w:r w:rsidR="002C2F01">
        <w:t xml:space="preserve"> </w:t>
      </w:r>
      <w:r w:rsidR="002C2F01" w:rsidRPr="002C2F01">
        <w:rPr>
          <w:b/>
        </w:rPr>
        <w:t>Maeer</w:t>
      </w:r>
      <w:r w:rsidRPr="002C2F01">
        <w:rPr>
          <w:b/>
        </w:rPr>
        <w:t>:</w:t>
      </w:r>
      <w:r>
        <w:t xml:space="preserve"> </w:t>
      </w:r>
      <w:r w:rsidR="002C2F01">
        <w:t>Gareth thinks that</w:t>
      </w:r>
      <w:r w:rsidR="00E46110">
        <w:t xml:space="preserve"> </w:t>
      </w:r>
      <w:r w:rsidR="002C2F01">
        <w:t xml:space="preserve">the Heritage Lottery Fund </w:t>
      </w:r>
      <w:r w:rsidR="00E46110">
        <w:t xml:space="preserve">could </w:t>
      </w:r>
      <w:r w:rsidR="002C2F01">
        <w:t xml:space="preserve">perhaps </w:t>
      </w:r>
      <w:r w:rsidR="00E46110">
        <w:t>use wellbeing</w:t>
      </w:r>
      <w:r w:rsidR="002C2F01">
        <w:t xml:space="preserve"> evidence</w:t>
      </w:r>
      <w:r w:rsidR="00E46110">
        <w:t xml:space="preserve"> in </w:t>
      </w:r>
      <w:r w:rsidR="002C2F01">
        <w:t>a</w:t>
      </w:r>
      <w:r w:rsidR="00E46110">
        <w:t xml:space="preserve"> strategic way, but</w:t>
      </w:r>
      <w:r w:rsidR="002C2F01">
        <w:t xml:space="preserve"> </w:t>
      </w:r>
      <w:r w:rsidR="00E46110">
        <w:t xml:space="preserve">can’t see a way of using </w:t>
      </w:r>
      <w:r w:rsidR="002C2F01">
        <w:t>it</w:t>
      </w:r>
      <w:r w:rsidR="00E46110">
        <w:t xml:space="preserve"> on</w:t>
      </w:r>
      <w:r w:rsidR="002C2F01">
        <w:t xml:space="preserve"> an</w:t>
      </w:r>
      <w:r w:rsidR="00E46110">
        <w:t xml:space="preserve"> individual</w:t>
      </w:r>
      <w:r w:rsidR="002C2F01">
        <w:t xml:space="preserve"> project</w:t>
      </w:r>
      <w:r w:rsidR="00E46110">
        <w:t xml:space="preserve"> basis</w:t>
      </w:r>
      <w:r w:rsidR="002C2F01">
        <w:t>.</w:t>
      </w:r>
    </w:p>
    <w:p w:rsidR="00E46110" w:rsidRDefault="00E46110" w:rsidP="00406296">
      <w:pPr>
        <w:pStyle w:val="ListParagraph"/>
        <w:numPr>
          <w:ilvl w:val="0"/>
          <w:numId w:val="17"/>
        </w:numPr>
      </w:pPr>
      <w:r w:rsidRPr="002C2F01">
        <w:rPr>
          <w:b/>
        </w:rPr>
        <w:t xml:space="preserve">Daniel Fujiwara: </w:t>
      </w:r>
      <w:r w:rsidR="002C2F01" w:rsidRPr="002C2F01">
        <w:t>M</w:t>
      </w:r>
      <w:r>
        <w:t xml:space="preserve">onetising (cost benefit analysis) </w:t>
      </w:r>
      <w:r w:rsidR="002C2F01">
        <w:t xml:space="preserve">is </w:t>
      </w:r>
      <w:r>
        <w:t>an approach</w:t>
      </w:r>
      <w:r w:rsidR="002C2F01">
        <w:t xml:space="preserve"> that</w:t>
      </w:r>
      <w:r>
        <w:t xml:space="preserve"> we may want to use – rather than willingness to pay, because people do</w:t>
      </w:r>
      <w:r w:rsidR="002C2F01">
        <w:t>n</w:t>
      </w:r>
      <w:r>
        <w:t xml:space="preserve">’t want to </w:t>
      </w:r>
      <w:r w:rsidR="002C2F01">
        <w:t>answer willingness to pay questions</w:t>
      </w:r>
      <w:r>
        <w:t>, or</w:t>
      </w:r>
      <w:r w:rsidR="002C2F01">
        <w:t xml:space="preserve"> being asked</w:t>
      </w:r>
      <w:r>
        <w:t xml:space="preserve"> changes the value of a good for them – so monetary equivalent values is better, and much cheaper to do</w:t>
      </w:r>
      <w:r w:rsidR="002C2F01">
        <w:t>.</w:t>
      </w:r>
    </w:p>
    <w:p w:rsidR="00E46110" w:rsidRDefault="00E46110" w:rsidP="00E46110">
      <w:pPr>
        <w:pStyle w:val="Heading1"/>
      </w:pPr>
      <w:r>
        <w:t>Audience members’ questions</w:t>
      </w:r>
    </w:p>
    <w:p w:rsidR="00E46110" w:rsidRDefault="00E46110" w:rsidP="00E46110">
      <w:pPr>
        <w:pStyle w:val="Heading2"/>
      </w:pPr>
      <w:r>
        <w:t>Jo Broadwood, People United</w:t>
      </w:r>
    </w:p>
    <w:p w:rsidR="00B4223D" w:rsidRDefault="005C21BA" w:rsidP="00B4223D">
      <w:pPr>
        <w:pStyle w:val="ListParagraph"/>
        <w:numPr>
          <w:ilvl w:val="0"/>
          <w:numId w:val="18"/>
        </w:numPr>
      </w:pPr>
      <w:r>
        <w:t>People United u</w:t>
      </w:r>
      <w:r w:rsidR="00E46110">
        <w:t>se</w:t>
      </w:r>
      <w:r>
        <w:t>s</w:t>
      </w:r>
      <w:r w:rsidR="00E46110">
        <w:t xml:space="preserve"> arts to inspire kinder communities</w:t>
      </w:r>
      <w:r>
        <w:t>. In t</w:t>
      </w:r>
      <w:r w:rsidR="00E46110">
        <w:t xml:space="preserve">heir work with </w:t>
      </w:r>
      <w:r>
        <w:t xml:space="preserve">the </w:t>
      </w:r>
      <w:r w:rsidR="00E46110">
        <w:t>University of Kent on mediators in inspiring kindness</w:t>
      </w:r>
      <w:r>
        <w:t xml:space="preserve">, they </w:t>
      </w:r>
      <w:r w:rsidR="001A7053">
        <w:t>worked with He</w:t>
      </w:r>
      <w:r w:rsidR="00E46110">
        <w:t>rn</w:t>
      </w:r>
      <w:r w:rsidR="001A7053">
        <w:t>e</w:t>
      </w:r>
      <w:r w:rsidR="00E46110">
        <w:t xml:space="preserve"> Bay</w:t>
      </w:r>
      <w:r w:rsidR="00B4223D">
        <w:t>, where there is</w:t>
      </w:r>
      <w:r w:rsidR="00E46110">
        <w:t xml:space="preserve"> low volunteering and arts participation</w:t>
      </w:r>
      <w:r w:rsidR="00B4223D">
        <w:t xml:space="preserve">. They </w:t>
      </w:r>
      <w:r w:rsidR="00E46110">
        <w:t xml:space="preserve">did various </w:t>
      </w:r>
      <w:r w:rsidR="00B4223D">
        <w:t>activities</w:t>
      </w:r>
      <w:r w:rsidR="00E46110">
        <w:t xml:space="preserve"> to develop kind</w:t>
      </w:r>
      <w:r w:rsidR="00B4223D">
        <w:t>n</w:t>
      </w:r>
      <w:r w:rsidR="00E46110">
        <w:t>ess</w:t>
      </w:r>
      <w:r w:rsidR="00B4223D">
        <w:t xml:space="preserve">, and </w:t>
      </w:r>
      <w:r w:rsidR="00E46110">
        <w:t>engaged 6,000</w:t>
      </w:r>
      <w:r w:rsidR="00B4223D">
        <w:t xml:space="preserve"> individuals</w:t>
      </w:r>
      <w:r w:rsidR="00E46110">
        <w:t xml:space="preserve"> over four years</w:t>
      </w:r>
      <w:r w:rsidR="00B4223D">
        <w:t>. The</w:t>
      </w:r>
      <w:r w:rsidR="00E46110">
        <w:t xml:space="preserve"> town is </w:t>
      </w:r>
      <w:r w:rsidR="00B4223D">
        <w:t xml:space="preserve">now </w:t>
      </w:r>
      <w:r w:rsidR="00E46110">
        <w:t>engaged</w:t>
      </w:r>
      <w:r w:rsidR="00B4223D">
        <w:t>. It</w:t>
      </w:r>
      <w:r w:rsidR="00E46110">
        <w:t xml:space="preserve"> was very difficult to measure</w:t>
      </w:r>
      <w:r w:rsidR="00B4223D">
        <w:t xml:space="preserve"> the</w:t>
      </w:r>
      <w:r w:rsidR="00E46110">
        <w:t xml:space="preserve"> impact</w:t>
      </w:r>
      <w:r w:rsidR="00B4223D">
        <w:t xml:space="preserve"> though</w:t>
      </w:r>
      <w:r w:rsidR="00E46110">
        <w:t xml:space="preserve">. </w:t>
      </w:r>
      <w:r w:rsidR="00B4223D">
        <w:t>They identified an increase in</w:t>
      </w:r>
      <w:r w:rsidR="00E46110">
        <w:t xml:space="preserve"> pro-sociality in schools, but</w:t>
      </w:r>
      <w:r w:rsidR="00B4223D">
        <w:t xml:space="preserve"> found it difficult to demonstrate causality</w:t>
      </w:r>
      <w:r w:rsidR="0047261D">
        <w:t xml:space="preserve"> as opposed to</w:t>
      </w:r>
      <w:r w:rsidR="00E46110">
        <w:t xml:space="preserve"> correlation.</w:t>
      </w:r>
    </w:p>
    <w:p w:rsidR="00B4223D" w:rsidRDefault="00B4223D" w:rsidP="00B4223D">
      <w:pPr>
        <w:pStyle w:val="ListParagraph"/>
        <w:numPr>
          <w:ilvl w:val="0"/>
          <w:numId w:val="21"/>
        </w:numPr>
      </w:pPr>
      <w:r w:rsidRPr="00B4223D">
        <w:rPr>
          <w:b/>
        </w:rPr>
        <w:t>Daniel Fujiwara:</w:t>
      </w:r>
      <w:r>
        <w:t xml:space="preserve"> We need research in culture to find causality, but we don’t have it in the arts. Daniel would like to see a push towards more robust methods, and has some ideas. </w:t>
      </w:r>
    </w:p>
    <w:p w:rsidR="00E46110" w:rsidRDefault="00E46110" w:rsidP="00E46110">
      <w:pPr>
        <w:pStyle w:val="Heading2"/>
      </w:pPr>
      <w:r>
        <w:t>Unnamed audience member, Project Researcher</w:t>
      </w:r>
    </w:p>
    <w:p w:rsidR="00E46110" w:rsidRDefault="00E46110" w:rsidP="00E46110">
      <w:pPr>
        <w:pStyle w:val="ListParagraph"/>
        <w:numPr>
          <w:ilvl w:val="0"/>
          <w:numId w:val="18"/>
        </w:numPr>
      </w:pPr>
      <w:r>
        <w:t>Wellbeing is a multifaceted concept</w:t>
      </w:r>
    </w:p>
    <w:p w:rsidR="00E46110" w:rsidRDefault="00E46110" w:rsidP="00E46110">
      <w:pPr>
        <w:pStyle w:val="ListParagraph"/>
        <w:numPr>
          <w:ilvl w:val="0"/>
          <w:numId w:val="18"/>
        </w:numPr>
      </w:pPr>
      <w:r>
        <w:t>Culture impacts health in different ways to ‘good governance’</w:t>
      </w:r>
      <w:r w:rsidR="00325C54">
        <w:t>, which poses</w:t>
      </w:r>
      <w:r>
        <w:t xml:space="preserve"> impossible questions</w:t>
      </w:r>
      <w:r w:rsidR="00325C54">
        <w:t xml:space="preserve">. </w:t>
      </w:r>
      <w:r>
        <w:t>Do we want to equate happiness with wellbeing?</w:t>
      </w:r>
    </w:p>
    <w:p w:rsidR="00325C54" w:rsidRDefault="00325C54" w:rsidP="00E46110">
      <w:pPr>
        <w:pStyle w:val="ListParagraph"/>
        <w:numPr>
          <w:ilvl w:val="0"/>
          <w:numId w:val="18"/>
        </w:numPr>
      </w:pPr>
      <w:r>
        <w:rPr>
          <w:b/>
        </w:rPr>
        <w:t xml:space="preserve">Dave O’Brien: </w:t>
      </w:r>
      <w:r>
        <w:t>It is very important that we clearly define what we mean by wellbeing.</w:t>
      </w:r>
    </w:p>
    <w:p w:rsidR="00E46110" w:rsidRDefault="00E46110" w:rsidP="00E46110">
      <w:pPr>
        <w:pStyle w:val="Heading2"/>
      </w:pPr>
      <w:r>
        <w:t>Unnamed audience member</w:t>
      </w:r>
    </w:p>
    <w:p w:rsidR="0044343F" w:rsidRDefault="00590C6E" w:rsidP="0044343F">
      <w:pPr>
        <w:pStyle w:val="ListParagraph"/>
        <w:numPr>
          <w:ilvl w:val="0"/>
          <w:numId w:val="19"/>
        </w:numPr>
      </w:pPr>
      <w:r>
        <w:t>W</w:t>
      </w:r>
      <w:r w:rsidR="0044343F">
        <w:t>ork related stress has overtaken muscu</w:t>
      </w:r>
      <w:r>
        <w:t>loskeletal</w:t>
      </w:r>
      <w:r w:rsidR="0044343F">
        <w:t xml:space="preserve"> health problems –</w:t>
      </w:r>
      <w:r>
        <w:t xml:space="preserve"> the </w:t>
      </w:r>
      <w:r w:rsidR="0044343F">
        <w:t xml:space="preserve">arts has </w:t>
      </w:r>
      <w:r>
        <w:t xml:space="preserve">a </w:t>
      </w:r>
      <w:r w:rsidR="0044343F">
        <w:t>very important part to play in work-related stress via compassion</w:t>
      </w:r>
      <w:r>
        <w:t>.</w:t>
      </w:r>
    </w:p>
    <w:p w:rsidR="0044343F" w:rsidRDefault="0044343F" w:rsidP="0044343F">
      <w:pPr>
        <w:pStyle w:val="Heading2"/>
      </w:pPr>
      <w:r>
        <w:t>Glen Everett, Director of Measuring National Wellbeing, Office for National Statistics</w:t>
      </w:r>
    </w:p>
    <w:p w:rsidR="0044343F" w:rsidRDefault="00590C6E" w:rsidP="0044343F">
      <w:pPr>
        <w:pStyle w:val="ListParagraph"/>
        <w:numPr>
          <w:ilvl w:val="0"/>
          <w:numId w:val="19"/>
        </w:numPr>
      </w:pPr>
      <w:r>
        <w:t>The Office for National Statistics has a</w:t>
      </w:r>
      <w:r w:rsidR="0044343F">
        <w:t>dded</w:t>
      </w:r>
      <w:r>
        <w:t xml:space="preserve"> a</w:t>
      </w:r>
      <w:r w:rsidR="0044343F">
        <w:t xml:space="preserve"> measure of mental health and participation in arts to</w:t>
      </w:r>
      <w:r>
        <w:t xml:space="preserve"> its</w:t>
      </w:r>
      <w:r w:rsidR="0044343F">
        <w:t xml:space="preserve"> wellbeing measure</w:t>
      </w:r>
      <w:r>
        <w:t xml:space="preserve">s. </w:t>
      </w:r>
    </w:p>
    <w:p w:rsidR="0044343F" w:rsidRDefault="00590C6E" w:rsidP="0044343F">
      <w:pPr>
        <w:pStyle w:val="ListParagraph"/>
        <w:numPr>
          <w:ilvl w:val="0"/>
          <w:numId w:val="19"/>
        </w:numPr>
      </w:pPr>
      <w:r>
        <w:t xml:space="preserve">Measuring wellbeing is </w:t>
      </w:r>
      <w:r w:rsidR="0044343F">
        <w:t>a long journey</w:t>
      </w:r>
      <w:r>
        <w:t>, but they are working on it. They are on track with their work to produce</w:t>
      </w:r>
      <w:r w:rsidR="0044343F">
        <w:t xml:space="preserve"> a standard framework and </w:t>
      </w:r>
      <w:r>
        <w:t>definition.</w:t>
      </w:r>
    </w:p>
    <w:p w:rsidR="0044343F" w:rsidRDefault="00590C6E" w:rsidP="0044343F">
      <w:pPr>
        <w:pStyle w:val="ListParagraph"/>
        <w:numPr>
          <w:ilvl w:val="0"/>
          <w:numId w:val="19"/>
        </w:numPr>
      </w:pPr>
      <w:r>
        <w:t xml:space="preserve">Research like the </w:t>
      </w:r>
      <w:r w:rsidR="0044343F">
        <w:t>OECD</w:t>
      </w:r>
      <w:r>
        <w:t>’s B</w:t>
      </w:r>
      <w:r w:rsidR="0044343F">
        <w:t xml:space="preserve">etter </w:t>
      </w:r>
      <w:r>
        <w:t>P</w:t>
      </w:r>
      <w:r w:rsidR="0044343F">
        <w:t xml:space="preserve">olicies for </w:t>
      </w:r>
      <w:r>
        <w:t>B</w:t>
      </w:r>
      <w:r w:rsidR="0044343F">
        <w:t xml:space="preserve">etter </w:t>
      </w:r>
      <w:r>
        <w:t>L</w:t>
      </w:r>
      <w:r w:rsidR="0044343F">
        <w:t xml:space="preserve">ives </w:t>
      </w:r>
      <w:r>
        <w:t>is</w:t>
      </w:r>
      <w:r w:rsidR="0044343F">
        <w:t xml:space="preserve"> important </w:t>
      </w:r>
      <w:r>
        <w:t>as a way to</w:t>
      </w:r>
      <w:r w:rsidR="0044343F">
        <w:t xml:space="preserve"> let policy makers create </w:t>
      </w:r>
      <w:r>
        <w:t>“</w:t>
      </w:r>
      <w:r w:rsidR="0044343F">
        <w:t xml:space="preserve">more bang for </w:t>
      </w:r>
      <w:r>
        <w:t xml:space="preserve">their </w:t>
      </w:r>
      <w:r w:rsidR="0044343F">
        <w:t>buck</w:t>
      </w:r>
      <w:r>
        <w:t>”.</w:t>
      </w:r>
    </w:p>
    <w:p w:rsidR="0044343F" w:rsidRDefault="00590C6E" w:rsidP="0044343F">
      <w:pPr>
        <w:pStyle w:val="ListParagraph"/>
        <w:numPr>
          <w:ilvl w:val="0"/>
          <w:numId w:val="19"/>
        </w:numPr>
      </w:pPr>
      <w:r>
        <w:t>U</w:t>
      </w:r>
      <w:r w:rsidR="0044343F">
        <w:t xml:space="preserve">nemployment, health, </w:t>
      </w:r>
      <w:r>
        <w:t xml:space="preserve">and </w:t>
      </w:r>
      <w:r w:rsidR="0044343F">
        <w:t>relations</w:t>
      </w:r>
      <w:r>
        <w:t>hips are the top three predictors of wellbeing. There are many others too. I</w:t>
      </w:r>
      <w:r w:rsidR="0044343F">
        <w:t>ncome comes fairly low</w:t>
      </w:r>
      <w:r>
        <w:t>.</w:t>
      </w:r>
    </w:p>
    <w:p w:rsidR="0044343F" w:rsidRDefault="0044343F" w:rsidP="0044343F">
      <w:pPr>
        <w:pStyle w:val="Heading2"/>
      </w:pPr>
      <w:r>
        <w:t>Paul Ste</w:t>
      </w:r>
      <w:r w:rsidR="001131D2">
        <w:t>rnberg</w:t>
      </w:r>
      <w:r>
        <w:t>, Action for Happiness/Happy Days Festival</w:t>
      </w:r>
    </w:p>
    <w:p w:rsidR="0044343F" w:rsidRDefault="0044343F" w:rsidP="0044343F">
      <w:pPr>
        <w:pStyle w:val="ListParagraph"/>
        <w:numPr>
          <w:ilvl w:val="0"/>
          <w:numId w:val="20"/>
        </w:numPr>
      </w:pPr>
      <w:r>
        <w:t xml:space="preserve">Before Beckerskillet festival, </w:t>
      </w:r>
      <w:r w:rsidR="001131D2">
        <w:t xml:space="preserve">there was </w:t>
      </w:r>
      <w:r>
        <w:t xml:space="preserve">very little investment in </w:t>
      </w:r>
      <w:r w:rsidR="001131D2">
        <w:t xml:space="preserve">the </w:t>
      </w:r>
      <w:r>
        <w:t>arts there</w:t>
      </w:r>
      <w:r w:rsidR="001131D2">
        <w:t>. The area</w:t>
      </w:r>
      <w:r>
        <w:t xml:space="preserve"> has one of the highest </w:t>
      </w:r>
      <w:r w:rsidR="001131D2">
        <w:t xml:space="preserve">levels of </w:t>
      </w:r>
      <w:r>
        <w:t>wellbeing</w:t>
      </w:r>
      <w:r w:rsidR="001131D2">
        <w:t>.</w:t>
      </w:r>
    </w:p>
    <w:p w:rsidR="0044343F" w:rsidRDefault="001131D2" w:rsidP="0044343F">
      <w:pPr>
        <w:pStyle w:val="ListParagraph"/>
        <w:numPr>
          <w:ilvl w:val="0"/>
          <w:numId w:val="20"/>
        </w:numPr>
      </w:pPr>
      <w:r>
        <w:t>A study showed that f</w:t>
      </w:r>
      <w:r w:rsidR="0044343F">
        <w:t>ree membership o</w:t>
      </w:r>
      <w:r>
        <w:t xml:space="preserve">f the </w:t>
      </w:r>
      <w:r w:rsidR="0044343F">
        <w:t xml:space="preserve">National Trust </w:t>
      </w:r>
      <w:r>
        <w:t xml:space="preserve">compared to being prescribed </w:t>
      </w:r>
      <w:r w:rsidR="0044343F">
        <w:t xml:space="preserve">anti-depressants had interesting results </w:t>
      </w:r>
      <w:r>
        <w:t>in terms of</w:t>
      </w:r>
      <w:r w:rsidR="0044343F">
        <w:t xml:space="preserve"> wellbeing, </w:t>
      </w:r>
      <w:r>
        <w:t>though it’s</w:t>
      </w:r>
      <w:r w:rsidR="0044343F">
        <w:t xml:space="preserve"> hard to pinpoint why</w:t>
      </w:r>
      <w:r>
        <w:t>.</w:t>
      </w:r>
    </w:p>
    <w:p w:rsidR="0044343F" w:rsidRDefault="001131D2" w:rsidP="0044343F">
      <w:pPr>
        <w:pStyle w:val="ListParagraph"/>
        <w:numPr>
          <w:ilvl w:val="0"/>
          <w:numId w:val="20"/>
        </w:numPr>
      </w:pPr>
      <w:r>
        <w:t>Paul</w:t>
      </w:r>
      <w:r w:rsidR="0044343F">
        <w:t xml:space="preserve"> thinks </w:t>
      </w:r>
      <w:r>
        <w:t xml:space="preserve">that </w:t>
      </w:r>
      <w:r w:rsidR="0044343F">
        <w:t>it would be interesting to measure the wellbeing of cultural practitioners who are expo</w:t>
      </w:r>
      <w:r>
        <w:t>s</w:t>
      </w:r>
      <w:r w:rsidR="0044343F">
        <w:t xml:space="preserve">ed to </w:t>
      </w:r>
      <w:r>
        <w:t xml:space="preserve">the </w:t>
      </w:r>
      <w:r w:rsidR="0044343F">
        <w:t>arts as a good baseline</w:t>
      </w:r>
      <w:r>
        <w:t>.</w:t>
      </w:r>
    </w:p>
    <w:p w:rsidR="0044343F" w:rsidRDefault="0044343F" w:rsidP="0044343F">
      <w:pPr>
        <w:pStyle w:val="Heading2"/>
      </w:pPr>
      <w:r>
        <w:t>Lucy Neal, Happy Museum</w:t>
      </w:r>
    </w:p>
    <w:p w:rsidR="0044343F" w:rsidRDefault="0044343F" w:rsidP="0044343F">
      <w:pPr>
        <w:pStyle w:val="ListParagraph"/>
        <w:numPr>
          <w:ilvl w:val="0"/>
          <w:numId w:val="21"/>
        </w:numPr>
      </w:pPr>
      <w:r>
        <w:t xml:space="preserve">Thinks </w:t>
      </w:r>
      <w:r w:rsidR="001131D2">
        <w:t xml:space="preserve">the </w:t>
      </w:r>
      <w:r>
        <w:t>environment needs to also be taken into account in questions of wellbeing: stewardship of lives, communities, health, but also environment</w:t>
      </w:r>
      <w:r w:rsidR="001131D2">
        <w:t>.</w:t>
      </w:r>
    </w:p>
    <w:sectPr w:rsidR="0044343F" w:rsidSect="00CA4DF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157B"/>
    <w:multiLevelType w:val="hybridMultilevel"/>
    <w:tmpl w:val="7488F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01422"/>
    <w:multiLevelType w:val="hybridMultilevel"/>
    <w:tmpl w:val="201ACF3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4863225"/>
    <w:multiLevelType w:val="hybridMultilevel"/>
    <w:tmpl w:val="54E429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FB66BB1"/>
    <w:multiLevelType w:val="hybridMultilevel"/>
    <w:tmpl w:val="83501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574650"/>
    <w:multiLevelType w:val="hybridMultilevel"/>
    <w:tmpl w:val="64048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C90729"/>
    <w:multiLevelType w:val="hybridMultilevel"/>
    <w:tmpl w:val="4A60C216"/>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F884297"/>
    <w:multiLevelType w:val="hybridMultilevel"/>
    <w:tmpl w:val="5F4666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8B5D99"/>
    <w:multiLevelType w:val="hybridMultilevel"/>
    <w:tmpl w:val="1C623C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7B96FFB"/>
    <w:multiLevelType w:val="hybridMultilevel"/>
    <w:tmpl w:val="A14E9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3C5074"/>
    <w:multiLevelType w:val="hybridMultilevel"/>
    <w:tmpl w:val="6C2A1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0B0DE3"/>
    <w:multiLevelType w:val="hybridMultilevel"/>
    <w:tmpl w:val="E2546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4C59CE"/>
    <w:multiLevelType w:val="hybridMultilevel"/>
    <w:tmpl w:val="FE361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CA763B"/>
    <w:multiLevelType w:val="hybridMultilevel"/>
    <w:tmpl w:val="DC4CF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A83AA4"/>
    <w:multiLevelType w:val="hybridMultilevel"/>
    <w:tmpl w:val="35DEDA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D773A6"/>
    <w:multiLevelType w:val="hybridMultilevel"/>
    <w:tmpl w:val="F87C4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54A0DB0"/>
    <w:multiLevelType w:val="hybridMultilevel"/>
    <w:tmpl w:val="84A42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603457A"/>
    <w:multiLevelType w:val="hybridMultilevel"/>
    <w:tmpl w:val="2EC4A328"/>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6BD80D65"/>
    <w:multiLevelType w:val="hybridMultilevel"/>
    <w:tmpl w:val="15604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8036AC0"/>
    <w:multiLevelType w:val="hybridMultilevel"/>
    <w:tmpl w:val="47F04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9C96CBF"/>
    <w:multiLevelType w:val="hybridMultilevel"/>
    <w:tmpl w:val="4B8ED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9CB45ED"/>
    <w:multiLevelType w:val="hybridMultilevel"/>
    <w:tmpl w:val="B9EE9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F232C85"/>
    <w:multiLevelType w:val="hybridMultilevel"/>
    <w:tmpl w:val="4B2A16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num>
  <w:num w:numId="2">
    <w:abstractNumId w:val="17"/>
  </w:num>
  <w:num w:numId="3">
    <w:abstractNumId w:val="14"/>
  </w:num>
  <w:num w:numId="4">
    <w:abstractNumId w:val="6"/>
  </w:num>
  <w:num w:numId="5">
    <w:abstractNumId w:val="13"/>
  </w:num>
  <w:num w:numId="6">
    <w:abstractNumId w:val="2"/>
  </w:num>
  <w:num w:numId="7">
    <w:abstractNumId w:val="5"/>
  </w:num>
  <w:num w:numId="8">
    <w:abstractNumId w:val="7"/>
  </w:num>
  <w:num w:numId="9">
    <w:abstractNumId w:val="16"/>
  </w:num>
  <w:num w:numId="10">
    <w:abstractNumId w:val="1"/>
  </w:num>
  <w:num w:numId="11">
    <w:abstractNumId w:val="4"/>
  </w:num>
  <w:num w:numId="12">
    <w:abstractNumId w:val="0"/>
  </w:num>
  <w:num w:numId="13">
    <w:abstractNumId w:val="9"/>
  </w:num>
  <w:num w:numId="14">
    <w:abstractNumId w:val="21"/>
  </w:num>
  <w:num w:numId="15">
    <w:abstractNumId w:val="3"/>
  </w:num>
  <w:num w:numId="16">
    <w:abstractNumId w:val="11"/>
  </w:num>
  <w:num w:numId="17">
    <w:abstractNumId w:val="10"/>
  </w:num>
  <w:num w:numId="18">
    <w:abstractNumId w:val="12"/>
  </w:num>
  <w:num w:numId="19">
    <w:abstractNumId w:val="8"/>
  </w:num>
  <w:num w:numId="20">
    <w:abstractNumId w:val="15"/>
  </w:num>
  <w:num w:numId="21">
    <w:abstractNumId w:val="19"/>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TrackMoves/>
  <w:defaultTabStop w:val="720"/>
  <w:characterSpacingControl w:val="doNotCompress"/>
  <w:compat/>
  <w:rsids>
    <w:rsidRoot w:val="00DD66D5"/>
    <w:rsid w:val="0001466D"/>
    <w:rsid w:val="00047C4A"/>
    <w:rsid w:val="0005510B"/>
    <w:rsid w:val="000D7D43"/>
    <w:rsid w:val="000F1C17"/>
    <w:rsid w:val="001131D2"/>
    <w:rsid w:val="00167714"/>
    <w:rsid w:val="00172C18"/>
    <w:rsid w:val="001853DA"/>
    <w:rsid w:val="001863CA"/>
    <w:rsid w:val="00196C7F"/>
    <w:rsid w:val="001A7053"/>
    <w:rsid w:val="001C59CC"/>
    <w:rsid w:val="001D26F3"/>
    <w:rsid w:val="00215C8B"/>
    <w:rsid w:val="002272D8"/>
    <w:rsid w:val="00231476"/>
    <w:rsid w:val="002740D9"/>
    <w:rsid w:val="002A5692"/>
    <w:rsid w:val="002C1989"/>
    <w:rsid w:val="002C2F01"/>
    <w:rsid w:val="00324B64"/>
    <w:rsid w:val="00325C54"/>
    <w:rsid w:val="00361730"/>
    <w:rsid w:val="003B23D4"/>
    <w:rsid w:val="003D6064"/>
    <w:rsid w:val="003F715B"/>
    <w:rsid w:val="00401227"/>
    <w:rsid w:val="00403CBE"/>
    <w:rsid w:val="00406296"/>
    <w:rsid w:val="0043203E"/>
    <w:rsid w:val="004400BC"/>
    <w:rsid w:val="0044343F"/>
    <w:rsid w:val="00462440"/>
    <w:rsid w:val="0047261D"/>
    <w:rsid w:val="00487F55"/>
    <w:rsid w:val="004F72AE"/>
    <w:rsid w:val="00522076"/>
    <w:rsid w:val="005748D9"/>
    <w:rsid w:val="00577989"/>
    <w:rsid w:val="00590C6E"/>
    <w:rsid w:val="005C21BA"/>
    <w:rsid w:val="005E4F02"/>
    <w:rsid w:val="006017A5"/>
    <w:rsid w:val="006122B1"/>
    <w:rsid w:val="00622F88"/>
    <w:rsid w:val="0065721B"/>
    <w:rsid w:val="006A566B"/>
    <w:rsid w:val="007318AE"/>
    <w:rsid w:val="00750829"/>
    <w:rsid w:val="007B7BEA"/>
    <w:rsid w:val="007E25FD"/>
    <w:rsid w:val="007F0733"/>
    <w:rsid w:val="00813378"/>
    <w:rsid w:val="0081348D"/>
    <w:rsid w:val="008802E9"/>
    <w:rsid w:val="008A7840"/>
    <w:rsid w:val="008B44B4"/>
    <w:rsid w:val="008C7327"/>
    <w:rsid w:val="00925F6D"/>
    <w:rsid w:val="00960ED2"/>
    <w:rsid w:val="009826E3"/>
    <w:rsid w:val="009E18FA"/>
    <w:rsid w:val="00A20329"/>
    <w:rsid w:val="00A45B1C"/>
    <w:rsid w:val="00A4711D"/>
    <w:rsid w:val="00A53CA6"/>
    <w:rsid w:val="00AC5F7B"/>
    <w:rsid w:val="00AF07DA"/>
    <w:rsid w:val="00B4223D"/>
    <w:rsid w:val="00B511C2"/>
    <w:rsid w:val="00B71C8A"/>
    <w:rsid w:val="00B85ABE"/>
    <w:rsid w:val="00B86ADC"/>
    <w:rsid w:val="00BF2218"/>
    <w:rsid w:val="00BF3D66"/>
    <w:rsid w:val="00BF7C08"/>
    <w:rsid w:val="00C118BB"/>
    <w:rsid w:val="00C42B30"/>
    <w:rsid w:val="00C844B1"/>
    <w:rsid w:val="00CA1F55"/>
    <w:rsid w:val="00CA4DFE"/>
    <w:rsid w:val="00CE0E9F"/>
    <w:rsid w:val="00CF25A2"/>
    <w:rsid w:val="00D20B8E"/>
    <w:rsid w:val="00D20EE5"/>
    <w:rsid w:val="00D22F32"/>
    <w:rsid w:val="00D650B5"/>
    <w:rsid w:val="00D76192"/>
    <w:rsid w:val="00D80C98"/>
    <w:rsid w:val="00D827D7"/>
    <w:rsid w:val="00DB372C"/>
    <w:rsid w:val="00DD66D5"/>
    <w:rsid w:val="00DF5565"/>
    <w:rsid w:val="00E46110"/>
    <w:rsid w:val="00E73DB6"/>
    <w:rsid w:val="00E76B88"/>
    <w:rsid w:val="00EA05E8"/>
    <w:rsid w:val="00EA3502"/>
    <w:rsid w:val="00EA67C7"/>
    <w:rsid w:val="00EC30B8"/>
    <w:rsid w:val="00EE42BC"/>
    <w:rsid w:val="00F22A35"/>
    <w:rsid w:val="00F37A63"/>
    <w:rsid w:val="00FE5B07"/>
    <w:rsid w:val="00FF19C9"/>
  </w:rsids>
  <m:mathPr>
    <m:mathFont m:val="Lucida Grande"/>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DFE"/>
  </w:style>
  <w:style w:type="paragraph" w:styleId="Heading1">
    <w:name w:val="heading 1"/>
    <w:basedOn w:val="Normal"/>
    <w:next w:val="Normal"/>
    <w:link w:val="Heading1Char"/>
    <w:uiPriority w:val="9"/>
    <w:qFormat/>
    <w:rsid w:val="00DD66D5"/>
    <w:pPr>
      <w:keepNext/>
      <w:keepLines/>
      <w:spacing w:before="480" w:after="0"/>
      <w:outlineLvl w:val="0"/>
    </w:pPr>
    <w:rPr>
      <w:rFonts w:eastAsiaTheme="majorEastAsia" w:cstheme="majorBidi"/>
      <w:b/>
      <w:bCs/>
      <w:color w:val="244061" w:themeColor="accent1" w:themeShade="80"/>
      <w:sz w:val="24"/>
      <w:szCs w:val="28"/>
    </w:rPr>
  </w:style>
  <w:style w:type="paragraph" w:styleId="Heading2">
    <w:name w:val="heading 2"/>
    <w:basedOn w:val="Normal"/>
    <w:next w:val="Normal"/>
    <w:link w:val="Heading2Char"/>
    <w:uiPriority w:val="9"/>
    <w:unhideWhenUsed/>
    <w:qFormat/>
    <w:rsid w:val="00AC5F7B"/>
    <w:pPr>
      <w:keepNext/>
      <w:keepLines/>
      <w:spacing w:before="200" w:after="0"/>
      <w:outlineLvl w:val="1"/>
    </w:pPr>
    <w:rPr>
      <w:rFonts w:eastAsiaTheme="majorEastAsia" w:cstheme="majorBidi"/>
      <w:b/>
      <w:bCs/>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D66D5"/>
    <w:pPr>
      <w:ind w:left="720"/>
      <w:contextualSpacing/>
    </w:pPr>
  </w:style>
  <w:style w:type="paragraph" w:styleId="Title">
    <w:name w:val="Title"/>
    <w:basedOn w:val="Normal"/>
    <w:next w:val="Normal"/>
    <w:link w:val="TitleChar"/>
    <w:uiPriority w:val="10"/>
    <w:qFormat/>
    <w:rsid w:val="00DD66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66D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D66D5"/>
    <w:rPr>
      <w:rFonts w:eastAsiaTheme="majorEastAsia" w:cstheme="majorBidi"/>
      <w:b/>
      <w:bCs/>
      <w:color w:val="244061" w:themeColor="accent1" w:themeShade="80"/>
      <w:sz w:val="24"/>
      <w:szCs w:val="28"/>
    </w:rPr>
  </w:style>
  <w:style w:type="character" w:styleId="Hyperlink">
    <w:name w:val="Hyperlink"/>
    <w:basedOn w:val="DefaultParagraphFont"/>
    <w:uiPriority w:val="99"/>
    <w:semiHidden/>
    <w:unhideWhenUsed/>
    <w:rsid w:val="0065721B"/>
    <w:rPr>
      <w:color w:val="0000FF"/>
      <w:u w:val="single"/>
    </w:rPr>
  </w:style>
  <w:style w:type="character" w:customStyle="1" w:styleId="apple-converted-space">
    <w:name w:val="apple-converted-space"/>
    <w:basedOn w:val="DefaultParagraphFont"/>
    <w:rsid w:val="0065721B"/>
  </w:style>
  <w:style w:type="character" w:customStyle="1" w:styleId="Heading2Char">
    <w:name w:val="Heading 2 Char"/>
    <w:basedOn w:val="DefaultParagraphFont"/>
    <w:link w:val="Heading2"/>
    <w:uiPriority w:val="9"/>
    <w:rsid w:val="00AC5F7B"/>
    <w:rPr>
      <w:rFonts w:eastAsiaTheme="majorEastAsia" w:cstheme="majorBidi"/>
      <w:b/>
      <w:bCs/>
      <w:szCs w:val="26"/>
    </w:rPr>
  </w:style>
  <w:style w:type="paragraph" w:styleId="PlainText">
    <w:name w:val="Plain Text"/>
    <w:basedOn w:val="Normal"/>
    <w:link w:val="PlainTextChar"/>
    <w:uiPriority w:val="99"/>
    <w:semiHidden/>
    <w:unhideWhenUsed/>
    <w:rsid w:val="000F1C1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F1C17"/>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66D5"/>
    <w:pPr>
      <w:keepNext/>
      <w:keepLines/>
      <w:spacing w:before="480" w:after="0"/>
      <w:outlineLvl w:val="0"/>
    </w:pPr>
    <w:rPr>
      <w:rFonts w:eastAsiaTheme="majorEastAsia" w:cstheme="majorBidi"/>
      <w:b/>
      <w:bCs/>
      <w:color w:val="244061" w:themeColor="accent1" w:themeShade="80"/>
      <w:sz w:val="24"/>
      <w:szCs w:val="28"/>
    </w:rPr>
  </w:style>
  <w:style w:type="paragraph" w:styleId="Heading2">
    <w:name w:val="heading 2"/>
    <w:basedOn w:val="Normal"/>
    <w:next w:val="Normal"/>
    <w:link w:val="Heading2Char"/>
    <w:uiPriority w:val="9"/>
    <w:unhideWhenUsed/>
    <w:qFormat/>
    <w:rsid w:val="00AC5F7B"/>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6D5"/>
    <w:pPr>
      <w:ind w:left="720"/>
      <w:contextualSpacing/>
    </w:pPr>
  </w:style>
  <w:style w:type="paragraph" w:styleId="Title">
    <w:name w:val="Title"/>
    <w:basedOn w:val="Normal"/>
    <w:next w:val="Normal"/>
    <w:link w:val="TitleChar"/>
    <w:uiPriority w:val="10"/>
    <w:qFormat/>
    <w:rsid w:val="00DD66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66D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D66D5"/>
    <w:rPr>
      <w:rFonts w:eastAsiaTheme="majorEastAsia" w:cstheme="majorBidi"/>
      <w:b/>
      <w:bCs/>
      <w:color w:val="244061" w:themeColor="accent1" w:themeShade="80"/>
      <w:sz w:val="24"/>
      <w:szCs w:val="28"/>
    </w:rPr>
  </w:style>
  <w:style w:type="character" w:styleId="Hyperlink">
    <w:name w:val="Hyperlink"/>
    <w:basedOn w:val="DefaultParagraphFont"/>
    <w:uiPriority w:val="99"/>
    <w:semiHidden/>
    <w:unhideWhenUsed/>
    <w:rsid w:val="0065721B"/>
    <w:rPr>
      <w:color w:val="0000FF"/>
      <w:u w:val="single"/>
    </w:rPr>
  </w:style>
  <w:style w:type="character" w:customStyle="1" w:styleId="apple-converted-space">
    <w:name w:val="apple-converted-space"/>
    <w:basedOn w:val="DefaultParagraphFont"/>
    <w:rsid w:val="0065721B"/>
  </w:style>
  <w:style w:type="character" w:customStyle="1" w:styleId="Heading2Char">
    <w:name w:val="Heading 2 Char"/>
    <w:basedOn w:val="DefaultParagraphFont"/>
    <w:link w:val="Heading2"/>
    <w:uiPriority w:val="9"/>
    <w:rsid w:val="00AC5F7B"/>
    <w:rPr>
      <w:rFonts w:eastAsiaTheme="majorEastAsia" w:cstheme="majorBidi"/>
      <w:b/>
      <w:bCs/>
      <w:szCs w:val="26"/>
    </w:rPr>
  </w:style>
  <w:style w:type="paragraph" w:styleId="PlainText">
    <w:name w:val="Plain Text"/>
    <w:basedOn w:val="Normal"/>
    <w:link w:val="PlainTextChar"/>
    <w:uiPriority w:val="99"/>
    <w:semiHidden/>
    <w:unhideWhenUsed/>
    <w:rsid w:val="000F1C1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F1C17"/>
    <w:rPr>
      <w:rFonts w:ascii="Calibri" w:hAnsi="Calibri"/>
      <w:szCs w:val="21"/>
    </w:rPr>
  </w:style>
</w:styles>
</file>

<file path=word/webSettings.xml><?xml version="1.0" encoding="utf-8"?>
<w:webSettings xmlns:r="http://schemas.openxmlformats.org/officeDocument/2006/relationships" xmlns:w="http://schemas.openxmlformats.org/wordprocessingml/2006/main">
  <w:divs>
    <w:div w:id="1657345337">
      <w:bodyDiv w:val="1"/>
      <w:marLeft w:val="0"/>
      <w:marRight w:val="0"/>
      <w:marTop w:val="0"/>
      <w:marBottom w:val="0"/>
      <w:divBdr>
        <w:top w:val="none" w:sz="0" w:space="0" w:color="auto"/>
        <w:left w:val="none" w:sz="0" w:space="0" w:color="auto"/>
        <w:bottom w:val="none" w:sz="0" w:space="0" w:color="auto"/>
        <w:right w:val="none" w:sz="0" w:space="0" w:color="auto"/>
      </w:divBdr>
    </w:div>
    <w:div w:id="199401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n.wikipedia.org/wiki/Minister_of_State" TargetMode="External"/><Relationship Id="rId7" Type="http://schemas.openxmlformats.org/officeDocument/2006/relationships/hyperlink" Target="http://en.wikipedia.org/wiki/Department_for_Business,_Innovation_and_Skills"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7D0F4-130B-884D-A2C8-31EF64881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2391</Words>
  <Characters>13631</Characters>
  <Application>Microsoft Macintosh Word</Application>
  <DocSecurity>0</DocSecurity>
  <Lines>113</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Jeffrey</dc:creator>
  <cp:lastModifiedBy>Nicola Mann</cp:lastModifiedBy>
  <cp:revision>2</cp:revision>
  <dcterms:created xsi:type="dcterms:W3CDTF">2014-02-14T14:18:00Z</dcterms:created>
  <dcterms:modified xsi:type="dcterms:W3CDTF">2014-02-14T14:18:00Z</dcterms:modified>
</cp:coreProperties>
</file>